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FB649" w14:textId="77777777" w:rsidR="00F72849" w:rsidRPr="002B40A3" w:rsidRDefault="00F72849" w:rsidP="00F72849">
      <w:pPr>
        <w:pStyle w:val="Heading1"/>
        <w:numPr>
          <w:ilvl w:val="0"/>
          <w:numId w:val="0"/>
        </w:numPr>
        <w:spacing w:before="0" w:after="0"/>
        <w:ind w:left="720" w:hanging="720"/>
        <w:jc w:val="center"/>
        <w:rPr>
          <w:rFonts w:asciiTheme="minorHAnsi" w:hAnsiTheme="minorHAnsi" w:cstheme="minorHAnsi"/>
          <w:color w:val="44546A" w:themeColor="text2"/>
          <w:sz w:val="28"/>
          <w:szCs w:val="28"/>
          <w:lang w:eastAsia="hr-HR"/>
        </w:rPr>
      </w:pPr>
      <w:bookmarkStart w:id="0" w:name="_Toc136193315"/>
      <w:r w:rsidRPr="002B40A3">
        <w:rPr>
          <w:rFonts w:asciiTheme="minorHAnsi" w:hAnsiTheme="minorHAnsi" w:cstheme="minorHAnsi"/>
          <w:color w:val="44546A" w:themeColor="text2"/>
          <w:sz w:val="28"/>
          <w:szCs w:val="28"/>
          <w:lang w:eastAsia="hr-HR"/>
        </w:rPr>
        <w:t>BILJEŠKE UZ FINANCIJSKE IZVJEŠTAJE</w:t>
      </w:r>
      <w:bookmarkEnd w:id="0"/>
    </w:p>
    <w:p w14:paraId="3500FF70" w14:textId="5BC39C66" w:rsidR="00F72849" w:rsidRPr="002B40A3" w:rsidRDefault="00F72849" w:rsidP="00F72849">
      <w:pPr>
        <w:spacing w:after="0" w:line="240" w:lineRule="auto"/>
        <w:jc w:val="center"/>
        <w:rPr>
          <w:rFonts w:cstheme="minorHAnsi"/>
          <w:b/>
          <w:bCs/>
          <w:color w:val="44546A" w:themeColor="text2"/>
          <w:sz w:val="28"/>
          <w:szCs w:val="28"/>
        </w:rPr>
      </w:pPr>
      <w:r>
        <w:rPr>
          <w:rFonts w:cstheme="minorHAnsi"/>
          <w:b/>
          <w:bCs/>
          <w:color w:val="44546A" w:themeColor="text2"/>
          <w:sz w:val="28"/>
          <w:szCs w:val="28"/>
          <w:lang w:eastAsia="hr-HR"/>
        </w:rPr>
        <w:t>PONIKVE EKO OTOK KRK</w:t>
      </w:r>
      <w:r w:rsidRPr="002B40A3">
        <w:rPr>
          <w:rFonts w:cstheme="minorHAnsi"/>
          <w:b/>
          <w:bCs/>
          <w:color w:val="44546A" w:themeColor="text2"/>
          <w:sz w:val="28"/>
          <w:szCs w:val="28"/>
          <w:lang w:eastAsia="hr-HR"/>
        </w:rPr>
        <w:t xml:space="preserve"> d.o.o. ZA </w:t>
      </w:r>
      <w:r w:rsidR="00D545AA">
        <w:rPr>
          <w:rFonts w:cstheme="minorHAnsi"/>
          <w:b/>
          <w:bCs/>
          <w:color w:val="44546A" w:themeColor="text2"/>
          <w:sz w:val="28"/>
          <w:szCs w:val="28"/>
          <w:lang w:eastAsia="hr-HR"/>
        </w:rPr>
        <w:t>2023</w:t>
      </w:r>
      <w:r w:rsidRPr="002B40A3">
        <w:rPr>
          <w:rFonts w:cstheme="minorHAnsi"/>
          <w:b/>
          <w:bCs/>
          <w:color w:val="44546A" w:themeColor="text2"/>
          <w:sz w:val="28"/>
          <w:szCs w:val="28"/>
          <w:lang w:eastAsia="hr-HR"/>
        </w:rPr>
        <w:t>. GODINU</w:t>
      </w:r>
    </w:p>
    <w:p w14:paraId="02543B44" w14:textId="77777777" w:rsidR="00F72849" w:rsidRDefault="00F72849" w:rsidP="00F72849">
      <w:pPr>
        <w:spacing w:after="0" w:line="240" w:lineRule="auto"/>
        <w:jc w:val="center"/>
        <w:rPr>
          <w:b/>
          <w:sz w:val="24"/>
          <w:szCs w:val="24"/>
        </w:rPr>
      </w:pPr>
    </w:p>
    <w:p w14:paraId="74724F6E" w14:textId="77777777" w:rsidR="00F72849" w:rsidRPr="00FA3619" w:rsidRDefault="00F72849" w:rsidP="00F72849">
      <w:pPr>
        <w:spacing w:after="0" w:line="240" w:lineRule="auto"/>
        <w:jc w:val="center"/>
        <w:rPr>
          <w:b/>
          <w:sz w:val="24"/>
          <w:szCs w:val="24"/>
        </w:rPr>
      </w:pPr>
    </w:p>
    <w:p w14:paraId="605E23DA" w14:textId="77777777" w:rsidR="00F72849" w:rsidRPr="00E37278" w:rsidRDefault="00F72849" w:rsidP="00F72849">
      <w:pPr>
        <w:pStyle w:val="ListParagraph"/>
        <w:numPr>
          <w:ilvl w:val="0"/>
          <w:numId w:val="19"/>
        </w:num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E37278">
        <w:rPr>
          <w:rFonts w:cstheme="minorHAnsi"/>
          <w:b/>
          <w:bCs/>
          <w:iCs/>
          <w:sz w:val="24"/>
          <w:szCs w:val="24"/>
        </w:rPr>
        <w:t>OSNOVNI PODACI O DRUŠTVU</w:t>
      </w:r>
    </w:p>
    <w:p w14:paraId="5A3087DE" w14:textId="77777777" w:rsidR="00F24A17" w:rsidRDefault="00F24A17" w:rsidP="00F72849">
      <w:pPr>
        <w:spacing w:before="240" w:line="240" w:lineRule="auto"/>
        <w:jc w:val="both"/>
        <w:rPr>
          <w:rFonts w:cstheme="minorHAnsi"/>
          <w:sz w:val="24"/>
          <w:szCs w:val="24"/>
        </w:rPr>
      </w:pPr>
    </w:p>
    <w:p w14:paraId="02DC7988" w14:textId="108BB1CC" w:rsidR="00F72849" w:rsidRPr="00085B4C" w:rsidRDefault="00F72849" w:rsidP="00F72849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>Ponikve eko otok Krk je društvo s ograničenom odgovornošću (dalje: Društvo) za obavljanje djelatnosti gospodarenja otpadom i energetiku.</w:t>
      </w:r>
    </w:p>
    <w:p w14:paraId="5F2F0F20" w14:textId="77777777" w:rsidR="00F72849" w:rsidRPr="00EB381A" w:rsidRDefault="00F72849" w:rsidP="00F72849">
      <w:pPr>
        <w:spacing w:line="240" w:lineRule="auto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 xml:space="preserve">Društvo je 14. studenog 2013. godine registrirano u Trgovačkom sudu u Rijeci (Rješenje broj Tt-13/8161-2) pod matičnim brojem suda MBS 040315364, a s poslovanjem je započelo 01. siječnja 2014. </w:t>
      </w:r>
      <w:r w:rsidRPr="00EB381A">
        <w:rPr>
          <w:rFonts w:cstheme="minorHAnsi"/>
          <w:sz w:val="24"/>
          <w:szCs w:val="24"/>
        </w:rPr>
        <w:t xml:space="preserve">godine. </w:t>
      </w:r>
    </w:p>
    <w:p w14:paraId="2B642BB9" w14:textId="709033E0" w:rsidR="00F72849" w:rsidRPr="00085B4C" w:rsidRDefault="00F72849" w:rsidP="00F72849">
      <w:pPr>
        <w:spacing w:line="240" w:lineRule="auto"/>
        <w:jc w:val="both"/>
        <w:rPr>
          <w:rFonts w:cstheme="minorHAnsi"/>
          <w:sz w:val="24"/>
          <w:szCs w:val="24"/>
        </w:rPr>
      </w:pPr>
      <w:r w:rsidRPr="00EB381A">
        <w:rPr>
          <w:rFonts w:cstheme="minorHAnsi"/>
          <w:sz w:val="24"/>
          <w:szCs w:val="24"/>
        </w:rPr>
        <w:t xml:space="preserve">Temeljni kapital Društva upisan je u sudski registar navedenog suda u iznosu od </w:t>
      </w:r>
      <w:r w:rsidR="00D545AA">
        <w:rPr>
          <w:rFonts w:cstheme="minorHAnsi"/>
          <w:sz w:val="24"/>
          <w:szCs w:val="24"/>
        </w:rPr>
        <w:t>4.657.790,00</w:t>
      </w:r>
      <w:r w:rsidR="00ED303D">
        <w:rPr>
          <w:rFonts w:cstheme="minorHAnsi"/>
          <w:sz w:val="24"/>
          <w:szCs w:val="24"/>
        </w:rPr>
        <w:t xml:space="preserve"> eur</w:t>
      </w:r>
      <w:r w:rsidRPr="00EB381A">
        <w:rPr>
          <w:rFonts w:cstheme="minorHAnsi"/>
          <w:sz w:val="24"/>
          <w:szCs w:val="24"/>
        </w:rPr>
        <w:t xml:space="preserve"> (202</w:t>
      </w:r>
      <w:r w:rsidR="00D545AA">
        <w:rPr>
          <w:rFonts w:cstheme="minorHAnsi"/>
          <w:sz w:val="24"/>
          <w:szCs w:val="24"/>
        </w:rPr>
        <w:t>2</w:t>
      </w:r>
      <w:r w:rsidRPr="00EB381A">
        <w:rPr>
          <w:rFonts w:cstheme="minorHAnsi"/>
          <w:sz w:val="24"/>
          <w:szCs w:val="24"/>
        </w:rPr>
        <w:t xml:space="preserve">.: </w:t>
      </w:r>
      <w:r w:rsidR="00D545AA">
        <w:rPr>
          <w:rFonts w:cstheme="minorHAnsi"/>
          <w:sz w:val="24"/>
          <w:szCs w:val="24"/>
        </w:rPr>
        <w:t>35.094.400,00</w:t>
      </w:r>
      <w:r w:rsidRPr="00EB381A">
        <w:rPr>
          <w:rFonts w:cstheme="minorHAnsi"/>
          <w:sz w:val="24"/>
          <w:szCs w:val="24"/>
        </w:rPr>
        <w:t xml:space="preserve"> kn</w:t>
      </w:r>
      <w:r w:rsidR="00F24A17">
        <w:rPr>
          <w:rFonts w:cstheme="minorHAnsi"/>
          <w:sz w:val="24"/>
          <w:szCs w:val="24"/>
        </w:rPr>
        <w:t xml:space="preserve"> / 4.657.827,33</w:t>
      </w:r>
      <w:r w:rsidR="00ED303D">
        <w:rPr>
          <w:rFonts w:cstheme="minorHAnsi"/>
          <w:sz w:val="24"/>
          <w:szCs w:val="24"/>
        </w:rPr>
        <w:t xml:space="preserve"> eur</w:t>
      </w:r>
      <w:r w:rsidR="00F24A17">
        <w:rPr>
          <w:rFonts w:cstheme="minorHAnsi"/>
          <w:sz w:val="24"/>
          <w:szCs w:val="24"/>
        </w:rPr>
        <w:t xml:space="preserve"> (fiksni tečaj konverzije 7,53450)</w:t>
      </w:r>
      <w:r w:rsidRPr="00EB381A">
        <w:rPr>
          <w:rFonts w:cstheme="minorHAnsi"/>
          <w:sz w:val="24"/>
          <w:szCs w:val="24"/>
        </w:rPr>
        <w:t>).</w:t>
      </w:r>
    </w:p>
    <w:p w14:paraId="3CEE34AB" w14:textId="692628AF" w:rsidR="00F72849" w:rsidRPr="00085B4C" w:rsidRDefault="00F72849" w:rsidP="00F72849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Osnovne djelatnosti Društva su:</w:t>
      </w:r>
    </w:p>
    <w:p w14:paraId="19676382" w14:textId="77777777" w:rsidR="00F72849" w:rsidRPr="00085B4C" w:rsidRDefault="00F72849" w:rsidP="00F72849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skupljanje, odvoz i zbrinjavanje komunalnog otpada</w:t>
      </w:r>
    </w:p>
    <w:p w14:paraId="2E612E78" w14:textId="77777777" w:rsidR="00F72849" w:rsidRPr="004A144E" w:rsidRDefault="00F72849" w:rsidP="00F72849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4A144E">
        <w:rPr>
          <w:rFonts w:cstheme="minorHAnsi"/>
          <w:iCs/>
          <w:sz w:val="24"/>
          <w:szCs w:val="24"/>
        </w:rPr>
        <w:t>održavanje i upravljanje odlagalištem komunalnog otpada Treskavac</w:t>
      </w:r>
    </w:p>
    <w:p w14:paraId="61408CEE" w14:textId="2EAEFEEA" w:rsidR="00F72849" w:rsidRPr="00641723" w:rsidRDefault="00F72849" w:rsidP="00F72849">
      <w:pPr>
        <w:numPr>
          <w:ilvl w:val="0"/>
          <w:numId w:val="2"/>
        </w:num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proizvodnja električne energije</w:t>
      </w:r>
      <w:r w:rsidR="00F24A17">
        <w:rPr>
          <w:rFonts w:cstheme="minorHAnsi"/>
          <w:iCs/>
          <w:sz w:val="24"/>
          <w:szCs w:val="24"/>
        </w:rPr>
        <w:t>.</w:t>
      </w:r>
    </w:p>
    <w:p w14:paraId="3761CC7D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Društvo ima skupštinu društva i upravu.</w:t>
      </w:r>
      <w:r w:rsidRPr="00085B4C">
        <w:rPr>
          <w:rFonts w:cstheme="minorHAnsi"/>
          <w:iCs/>
          <w:sz w:val="24"/>
          <w:szCs w:val="24"/>
        </w:rPr>
        <w:t xml:space="preserve"> </w:t>
      </w:r>
    </w:p>
    <w:p w14:paraId="3DEEA1BD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Skupštinu društva čine članovi društva (osnivači) – jedinice lokalne samouprave, a njome predsjeda predsjednik. Predsjednik skupštine imenuje se na vrijeme od godinu dana.</w:t>
      </w:r>
    </w:p>
    <w:p w14:paraId="06BFB0B2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Svaki član skupštine ostvaruje prava i dužnosti sukladno veličini temeljnog uloga.</w:t>
      </w:r>
    </w:p>
    <w:p w14:paraId="02EA58C3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Skupština društva odlučuje o svim bitnim stvarima kao što su financijski izvještaji, godišnji planovi poslovanja, investicijski  i razvojni planovi, cijene komunalnih usluga i slično.</w:t>
      </w:r>
    </w:p>
    <w:p w14:paraId="735BD7E0" w14:textId="4ADBFC46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Poslove društva vodi uprava koja se sastoji od jednog direktora kojeg imenuje skupština. Uprava društva zastupa </w:t>
      </w:r>
      <w:r w:rsidR="008A5C13">
        <w:rPr>
          <w:rFonts w:cstheme="minorHAnsi"/>
          <w:iCs/>
          <w:sz w:val="24"/>
          <w:szCs w:val="24"/>
        </w:rPr>
        <w:t>D</w:t>
      </w:r>
      <w:r w:rsidRPr="00085B4C">
        <w:rPr>
          <w:rFonts w:cstheme="minorHAnsi"/>
          <w:iCs/>
          <w:sz w:val="24"/>
          <w:szCs w:val="24"/>
        </w:rPr>
        <w:t>ruštvo, rukovodi i organizira proces rada i poslovanja te obavlja i druge poslove na temelju zakona i ovlaštenja.</w:t>
      </w:r>
    </w:p>
    <w:p w14:paraId="25759E92" w14:textId="77A1706C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Direktor Društva </w:t>
      </w:r>
      <w:r w:rsidR="00F24A17">
        <w:rPr>
          <w:rFonts w:cstheme="minorHAnsi"/>
          <w:iCs/>
          <w:sz w:val="24"/>
          <w:szCs w:val="24"/>
        </w:rPr>
        <w:t xml:space="preserve">u 2023. godini bio </w:t>
      </w:r>
      <w:r>
        <w:rPr>
          <w:rFonts w:cstheme="minorHAnsi"/>
          <w:iCs/>
          <w:sz w:val="24"/>
          <w:szCs w:val="24"/>
        </w:rPr>
        <w:t xml:space="preserve">je </w:t>
      </w:r>
      <w:r w:rsidRPr="00085B4C">
        <w:rPr>
          <w:rFonts w:cstheme="minorHAnsi"/>
          <w:iCs/>
          <w:sz w:val="24"/>
          <w:szCs w:val="24"/>
        </w:rPr>
        <w:t>Neven Hržić, mag.</w:t>
      </w:r>
      <w:r w:rsidR="00D545AA">
        <w:rPr>
          <w:rFonts w:cstheme="minorHAnsi"/>
          <w:iCs/>
          <w:sz w:val="24"/>
          <w:szCs w:val="24"/>
        </w:rPr>
        <w:t xml:space="preserve"> </w:t>
      </w:r>
      <w:r w:rsidRPr="00085B4C">
        <w:rPr>
          <w:rFonts w:cstheme="minorHAnsi"/>
          <w:iCs/>
          <w:sz w:val="24"/>
          <w:szCs w:val="24"/>
        </w:rPr>
        <w:t>ing.</w:t>
      </w:r>
      <w:r w:rsidR="00D545AA">
        <w:rPr>
          <w:rFonts w:cstheme="minorHAnsi"/>
          <w:iCs/>
          <w:sz w:val="24"/>
          <w:szCs w:val="24"/>
        </w:rPr>
        <w:t xml:space="preserve"> </w:t>
      </w:r>
      <w:r w:rsidRPr="00085B4C">
        <w:rPr>
          <w:rFonts w:cstheme="minorHAnsi"/>
          <w:iCs/>
          <w:sz w:val="24"/>
          <w:szCs w:val="24"/>
        </w:rPr>
        <w:t>aedif</w:t>
      </w:r>
      <w:r>
        <w:rPr>
          <w:rFonts w:cstheme="minorHAnsi"/>
          <w:iCs/>
          <w:sz w:val="24"/>
          <w:szCs w:val="24"/>
        </w:rPr>
        <w:t>. koji je na dužnost imenovan u</w:t>
      </w:r>
      <w:r w:rsidRPr="00085B4C">
        <w:rPr>
          <w:rFonts w:cstheme="minorHAnsi"/>
          <w:iCs/>
          <w:sz w:val="24"/>
          <w:szCs w:val="24"/>
        </w:rPr>
        <w:t xml:space="preserve"> prosincu 2021. godine</w:t>
      </w:r>
      <w:r w:rsidR="00A26A6F">
        <w:rPr>
          <w:rFonts w:cstheme="minorHAnsi"/>
          <w:iCs/>
          <w:sz w:val="24"/>
          <w:szCs w:val="24"/>
        </w:rPr>
        <w:t xml:space="preserve"> s početkom mandata od 01.01.2022. godine (Bilješka 19.)</w:t>
      </w:r>
      <w:r w:rsidRPr="00085B4C">
        <w:rPr>
          <w:rFonts w:cstheme="minorHAnsi"/>
          <w:iCs/>
          <w:sz w:val="24"/>
          <w:szCs w:val="24"/>
        </w:rPr>
        <w:t>.</w:t>
      </w:r>
    </w:p>
    <w:p w14:paraId="2C510AB3" w14:textId="77777777" w:rsidR="00F72849" w:rsidRPr="00085B4C" w:rsidRDefault="00F72849" w:rsidP="00F72849">
      <w:pPr>
        <w:spacing w:before="240" w:after="0" w:line="240" w:lineRule="auto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Temeljem Obavijesti o razvrstavanju poslovnog subjekta prema Nacionalnoj klasifikaciji djelatnosti koju je izdao Državni zavod za statistiku Zagreb, od 26. studenog 2013. godine, Društvo ima brojčanu oznaku razreda 92 – Skupljanje neopasnog otpada, matični broj poslovnog subjekta je 040315364, a OIB je 04155352667.</w:t>
      </w:r>
    </w:p>
    <w:p w14:paraId="3C144FB1" w14:textId="4AC04F6D" w:rsidR="00F72849" w:rsidRDefault="00F72849" w:rsidP="00F72849">
      <w:pPr>
        <w:spacing w:before="240"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U </w:t>
      </w:r>
      <w:r w:rsidR="00D545AA">
        <w:rPr>
          <w:rFonts w:cstheme="minorHAnsi"/>
          <w:iCs/>
          <w:sz w:val="24"/>
          <w:szCs w:val="24"/>
        </w:rPr>
        <w:t>2023</w:t>
      </w:r>
      <w:r w:rsidRPr="00085B4C">
        <w:rPr>
          <w:rFonts w:cstheme="minorHAnsi"/>
          <w:iCs/>
          <w:sz w:val="24"/>
          <w:szCs w:val="24"/>
        </w:rPr>
        <w:t xml:space="preserve">. godini Društvo je prosječno </w:t>
      </w:r>
      <w:r w:rsidRPr="00641723">
        <w:rPr>
          <w:rFonts w:cstheme="minorHAnsi"/>
          <w:iCs/>
          <w:sz w:val="24"/>
          <w:szCs w:val="24"/>
        </w:rPr>
        <w:t xml:space="preserve">zapošljavalo </w:t>
      </w:r>
      <w:r w:rsidR="00D545AA">
        <w:rPr>
          <w:rFonts w:cstheme="minorHAnsi"/>
          <w:iCs/>
          <w:sz w:val="24"/>
          <w:szCs w:val="24"/>
        </w:rPr>
        <w:t>131</w:t>
      </w:r>
      <w:r w:rsidRPr="00641723">
        <w:rPr>
          <w:rFonts w:cstheme="minorHAnsi"/>
          <w:iCs/>
          <w:sz w:val="24"/>
          <w:szCs w:val="24"/>
        </w:rPr>
        <w:t xml:space="preserve"> radnika</w:t>
      </w:r>
      <w:r w:rsidRPr="00085B4C">
        <w:rPr>
          <w:rFonts w:cstheme="minorHAnsi"/>
          <w:iCs/>
          <w:sz w:val="24"/>
          <w:szCs w:val="24"/>
        </w:rPr>
        <w:t xml:space="preserve"> (</w:t>
      </w:r>
      <w:r>
        <w:rPr>
          <w:rFonts w:cstheme="minorHAnsi"/>
          <w:iCs/>
          <w:sz w:val="24"/>
          <w:szCs w:val="24"/>
        </w:rPr>
        <w:t>202</w:t>
      </w:r>
      <w:r w:rsidR="00D545AA">
        <w:rPr>
          <w:rFonts w:cstheme="minorHAnsi"/>
          <w:iCs/>
          <w:sz w:val="24"/>
          <w:szCs w:val="24"/>
        </w:rPr>
        <w:t>2</w:t>
      </w:r>
      <w:r>
        <w:rPr>
          <w:rFonts w:cstheme="minorHAnsi"/>
          <w:iCs/>
          <w:sz w:val="24"/>
          <w:szCs w:val="24"/>
        </w:rPr>
        <w:t>.: 13</w:t>
      </w:r>
      <w:r w:rsidR="00D545AA">
        <w:rPr>
          <w:rFonts w:cstheme="minorHAnsi"/>
          <w:iCs/>
          <w:sz w:val="24"/>
          <w:szCs w:val="24"/>
        </w:rPr>
        <w:t>3</w:t>
      </w:r>
      <w:r>
        <w:rPr>
          <w:rFonts w:cstheme="minorHAnsi"/>
          <w:iCs/>
          <w:sz w:val="24"/>
          <w:szCs w:val="24"/>
        </w:rPr>
        <w:t xml:space="preserve"> radnika)</w:t>
      </w:r>
      <w:r w:rsidRPr="00FA3619">
        <w:rPr>
          <w:rFonts w:ascii="Calibri" w:eastAsia="Times New Roman" w:hAnsi="Calibri" w:cs="Times New Roman"/>
          <w:iCs/>
          <w:sz w:val="24"/>
          <w:szCs w:val="24"/>
        </w:rPr>
        <w:t>.</w:t>
      </w:r>
    </w:p>
    <w:p w14:paraId="34C53C49" w14:textId="77777777" w:rsidR="00F24A17" w:rsidRDefault="00F24A17" w:rsidP="00F72849">
      <w:pPr>
        <w:spacing w:before="240"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</w:p>
    <w:p w14:paraId="6A1A3BB6" w14:textId="77777777" w:rsidR="00F72849" w:rsidRPr="00FA3619" w:rsidRDefault="00F72849" w:rsidP="00F72849">
      <w:pPr>
        <w:numPr>
          <w:ilvl w:val="1"/>
          <w:numId w:val="3"/>
        </w:numPr>
        <w:spacing w:before="240" w:after="0" w:line="240" w:lineRule="auto"/>
        <w:ind w:right="92"/>
        <w:rPr>
          <w:rFonts w:ascii="Calibri" w:eastAsia="Times New Roman" w:hAnsi="Calibri" w:cs="Times New Roman"/>
          <w:b/>
          <w:bCs/>
          <w:iCs/>
          <w:caps/>
          <w:sz w:val="24"/>
          <w:szCs w:val="24"/>
        </w:rPr>
      </w:pPr>
      <w:r w:rsidRPr="00FA3619">
        <w:rPr>
          <w:rFonts w:ascii="Calibri" w:eastAsia="Times New Roman" w:hAnsi="Calibri" w:cs="Times New Roman"/>
          <w:b/>
          <w:bCs/>
          <w:iCs/>
          <w:caps/>
          <w:sz w:val="24"/>
          <w:szCs w:val="24"/>
        </w:rPr>
        <w:lastRenderedPageBreak/>
        <w:t>OKVIR ZA PREZENTIRANJE FINANCIJSKIH IZVJEŠTAJA</w:t>
      </w:r>
    </w:p>
    <w:p w14:paraId="0B71AF41" w14:textId="77777777" w:rsidR="00F72849" w:rsidRPr="00FA3619" w:rsidRDefault="00F72849" w:rsidP="00F72849">
      <w:pPr>
        <w:spacing w:after="0" w:line="240" w:lineRule="auto"/>
        <w:ind w:left="420" w:right="92"/>
        <w:rPr>
          <w:rFonts w:ascii="Calibri" w:eastAsia="Times New Roman" w:hAnsi="Calibri" w:cs="Times New Roman"/>
          <w:iCs/>
          <w:sz w:val="20"/>
          <w:szCs w:val="20"/>
        </w:rPr>
      </w:pPr>
    </w:p>
    <w:p w14:paraId="235D06F0" w14:textId="68FF51F5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Financijski izvještaji za 202</w:t>
      </w:r>
      <w:r w:rsidR="00D545AA">
        <w:rPr>
          <w:rFonts w:cstheme="minorHAnsi"/>
          <w:iCs/>
          <w:sz w:val="24"/>
          <w:szCs w:val="24"/>
        </w:rPr>
        <w:t>3</w:t>
      </w:r>
      <w:r w:rsidRPr="00085B4C">
        <w:rPr>
          <w:rFonts w:cstheme="minorHAnsi"/>
          <w:iCs/>
          <w:sz w:val="24"/>
          <w:szCs w:val="24"/>
        </w:rPr>
        <w:t>. godinu sastavljeni su u skladu s propisima Republike Hrvatske, te računovodstvenim politikama poduzetnika</w:t>
      </w:r>
      <w:r>
        <w:rPr>
          <w:rFonts w:cstheme="minorHAnsi"/>
          <w:iCs/>
          <w:sz w:val="24"/>
          <w:szCs w:val="24"/>
        </w:rPr>
        <w:t>.</w:t>
      </w:r>
    </w:p>
    <w:p w14:paraId="42DFF31D" w14:textId="427A4003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Računovodstvene politike Društva usklađene su s Hrvatskim standardima financijskog izvještavanja (NN 86/2015, 105/2020</w:t>
      </w:r>
      <w:r w:rsidR="00F24A17">
        <w:rPr>
          <w:rFonts w:cstheme="minorHAnsi"/>
          <w:iCs/>
          <w:sz w:val="24"/>
          <w:szCs w:val="24"/>
        </w:rPr>
        <w:t>, 9/2021, 150/2022</w:t>
      </w:r>
      <w:r w:rsidRPr="00085B4C">
        <w:rPr>
          <w:rFonts w:cstheme="minorHAnsi"/>
          <w:iCs/>
          <w:sz w:val="24"/>
          <w:szCs w:val="24"/>
        </w:rPr>
        <w:t>) koje poduzetnik ima obvezu primjenjivati temeljem Zakona o računovodstvu (NN 78/2015, 134/2015, 120/2016, 116/2018, 42/2020, 47/2020</w:t>
      </w:r>
      <w:r>
        <w:rPr>
          <w:rFonts w:cstheme="minorHAnsi"/>
          <w:iCs/>
          <w:sz w:val="24"/>
          <w:szCs w:val="24"/>
        </w:rPr>
        <w:t>, 114/</w:t>
      </w:r>
      <w:r w:rsidR="00F24A17">
        <w:rPr>
          <w:rFonts w:cstheme="minorHAnsi"/>
          <w:iCs/>
          <w:sz w:val="24"/>
          <w:szCs w:val="24"/>
        </w:rPr>
        <w:t>20</w:t>
      </w:r>
      <w:r>
        <w:rPr>
          <w:rFonts w:cstheme="minorHAnsi"/>
          <w:iCs/>
          <w:sz w:val="24"/>
          <w:szCs w:val="24"/>
        </w:rPr>
        <w:t>22</w:t>
      </w:r>
      <w:r w:rsidR="00F24A17">
        <w:rPr>
          <w:rFonts w:cstheme="minorHAnsi"/>
          <w:iCs/>
          <w:sz w:val="24"/>
          <w:szCs w:val="24"/>
        </w:rPr>
        <w:t>, 82/2023</w:t>
      </w:r>
      <w:r w:rsidRPr="00085B4C">
        <w:rPr>
          <w:rFonts w:cstheme="minorHAnsi"/>
          <w:iCs/>
          <w:sz w:val="24"/>
          <w:szCs w:val="24"/>
        </w:rPr>
        <w:t>).</w:t>
      </w:r>
    </w:p>
    <w:p w14:paraId="247E75C8" w14:textId="7F5A512E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Društvo je pozicije u financijskim izvještajima iskazalo u skladu sa zahtjevima iz Pravilnika o strukturi i sadržaju godišnjih financijskih izvještaja (NN 95/2016, 144/2020</w:t>
      </w:r>
      <w:r w:rsidR="00F24A17">
        <w:rPr>
          <w:rFonts w:cstheme="minorHAnsi"/>
          <w:iCs/>
          <w:sz w:val="24"/>
          <w:szCs w:val="24"/>
        </w:rPr>
        <w:t>, 158/2023</w:t>
      </w:r>
      <w:r w:rsidRPr="00085B4C">
        <w:rPr>
          <w:rFonts w:cstheme="minorHAnsi"/>
          <w:iCs/>
          <w:sz w:val="24"/>
          <w:szCs w:val="24"/>
        </w:rPr>
        <w:t>).</w:t>
      </w:r>
    </w:p>
    <w:p w14:paraId="1E29DE80" w14:textId="466A3699" w:rsidR="00F72849" w:rsidRPr="00325FF6" w:rsidRDefault="00F72849" w:rsidP="00325FF6">
      <w:pPr>
        <w:spacing w:before="240" w:after="0" w:line="240" w:lineRule="auto"/>
        <w:ind w:right="92"/>
        <w:jc w:val="both"/>
        <w:rPr>
          <w:rFonts w:ascii="Calibri" w:eastAsia="Times New Roman" w:hAnsi="Calibri" w:cs="Arial"/>
          <w:sz w:val="24"/>
          <w:szCs w:val="24"/>
        </w:rPr>
      </w:pPr>
      <w:r w:rsidRPr="00325FF6">
        <w:rPr>
          <w:rFonts w:cstheme="minorHAnsi"/>
          <w:iCs/>
          <w:sz w:val="24"/>
          <w:szCs w:val="24"/>
        </w:rPr>
        <w:t>Podaci u financijskim izvještajima prezentirani su u</w:t>
      </w:r>
      <w:r w:rsidR="00D545AA" w:rsidRPr="00325FF6">
        <w:rPr>
          <w:rFonts w:cstheme="minorHAnsi"/>
          <w:iCs/>
          <w:sz w:val="24"/>
          <w:szCs w:val="24"/>
        </w:rPr>
        <w:t xml:space="preserve"> </w:t>
      </w:r>
      <w:r w:rsidR="00F24A17" w:rsidRPr="00325FF6">
        <w:rPr>
          <w:rFonts w:cstheme="minorHAnsi"/>
          <w:iCs/>
          <w:sz w:val="24"/>
          <w:szCs w:val="24"/>
        </w:rPr>
        <w:t>EUR</w:t>
      </w:r>
      <w:r w:rsidR="00D545AA" w:rsidRPr="00325FF6">
        <w:rPr>
          <w:rFonts w:cstheme="minorHAnsi"/>
          <w:iCs/>
          <w:sz w:val="24"/>
          <w:szCs w:val="24"/>
        </w:rPr>
        <w:t xml:space="preserve"> valuti</w:t>
      </w:r>
      <w:r w:rsidRPr="00325FF6">
        <w:rPr>
          <w:rFonts w:cstheme="minorHAnsi"/>
          <w:iCs/>
          <w:sz w:val="24"/>
          <w:szCs w:val="24"/>
        </w:rPr>
        <w:t xml:space="preserve">, kao izvještajnoj valuti u Republici Hrvatskoj. </w:t>
      </w:r>
      <w:r w:rsidR="00325FF6">
        <w:rPr>
          <w:rFonts w:cstheme="minorHAnsi"/>
          <w:iCs/>
          <w:sz w:val="24"/>
          <w:szCs w:val="24"/>
        </w:rPr>
        <w:t>Usporedni p</w:t>
      </w:r>
      <w:r w:rsidR="00325FF6" w:rsidRPr="00325FF6">
        <w:rPr>
          <w:rFonts w:cstheme="minorHAnsi"/>
          <w:iCs/>
          <w:sz w:val="24"/>
          <w:szCs w:val="24"/>
        </w:rPr>
        <w:t xml:space="preserve">odaci iz 2022. godine konvertirani su prema </w:t>
      </w:r>
      <w:r w:rsidR="00CB4DD7">
        <w:rPr>
          <w:rFonts w:cstheme="minorHAnsi"/>
          <w:iCs/>
          <w:sz w:val="24"/>
          <w:szCs w:val="24"/>
        </w:rPr>
        <w:t xml:space="preserve">fiksnom </w:t>
      </w:r>
      <w:r w:rsidR="00325FF6" w:rsidRPr="00325FF6">
        <w:rPr>
          <w:rFonts w:cstheme="minorHAnsi"/>
          <w:iCs/>
          <w:sz w:val="24"/>
          <w:szCs w:val="24"/>
        </w:rPr>
        <w:t xml:space="preserve">tečaju konverzije </w:t>
      </w:r>
      <w:r w:rsidRPr="00325FF6">
        <w:rPr>
          <w:rFonts w:ascii="Calibri" w:eastAsia="Times New Roman" w:hAnsi="Calibri" w:cs="Arial"/>
          <w:sz w:val="24"/>
          <w:szCs w:val="24"/>
        </w:rPr>
        <w:t>1 EUR = 7,534500 HRK.</w:t>
      </w:r>
    </w:p>
    <w:p w14:paraId="474990BE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Dopunske informacije uz financijske izvještaje ne čine financijska izvješća već se iskazuju u svrhu dopunske analize.</w:t>
      </w:r>
    </w:p>
    <w:p w14:paraId="6C42A45C" w14:textId="435DDF54" w:rsidR="00F72849" w:rsidRDefault="00F72849" w:rsidP="00F72849">
      <w:pPr>
        <w:spacing w:before="240" w:after="0" w:line="240" w:lineRule="auto"/>
        <w:ind w:right="92"/>
        <w:jc w:val="both"/>
        <w:rPr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Financijski izvještaji sastavljeni su na temelju računovodstvenog načela vremenske neograničenosti poslovanja</w:t>
      </w:r>
      <w:r>
        <w:rPr>
          <w:iCs/>
          <w:sz w:val="24"/>
          <w:szCs w:val="24"/>
        </w:rPr>
        <w:t>.</w:t>
      </w:r>
    </w:p>
    <w:p w14:paraId="53A8475F" w14:textId="77777777" w:rsidR="00F72849" w:rsidRDefault="00F72849" w:rsidP="00F72849">
      <w:pPr>
        <w:spacing w:before="240" w:after="0" w:line="240" w:lineRule="auto"/>
        <w:ind w:right="92"/>
        <w:rPr>
          <w:rFonts w:ascii="Calibri" w:eastAsia="Times New Roman" w:hAnsi="Calibri" w:cs="Times New Roman"/>
          <w:iCs/>
          <w:sz w:val="24"/>
          <w:szCs w:val="24"/>
        </w:rPr>
      </w:pPr>
    </w:p>
    <w:p w14:paraId="0355EE6B" w14:textId="77777777" w:rsidR="00B625D5" w:rsidRPr="00FF3897" w:rsidRDefault="00B625D5" w:rsidP="00F72849">
      <w:pPr>
        <w:spacing w:before="240" w:after="0" w:line="240" w:lineRule="auto"/>
        <w:ind w:right="92"/>
        <w:rPr>
          <w:rFonts w:ascii="Calibri" w:eastAsia="Times New Roman" w:hAnsi="Calibri" w:cs="Times New Roman"/>
          <w:iCs/>
          <w:sz w:val="24"/>
          <w:szCs w:val="24"/>
        </w:rPr>
      </w:pPr>
    </w:p>
    <w:p w14:paraId="79C6DB5A" w14:textId="77777777" w:rsidR="00F72849" w:rsidRPr="00FA3619" w:rsidRDefault="00F72849" w:rsidP="00F72849">
      <w:pPr>
        <w:spacing w:after="0" w:line="240" w:lineRule="auto"/>
        <w:ind w:right="92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  <w:r w:rsidRPr="00FF3897">
        <w:rPr>
          <w:rFonts w:ascii="Calibri" w:eastAsia="Times New Roman" w:hAnsi="Calibri" w:cs="Times New Roman"/>
          <w:b/>
          <w:bCs/>
          <w:iCs/>
          <w:sz w:val="24"/>
          <w:szCs w:val="24"/>
        </w:rPr>
        <w:t xml:space="preserve">1.2. </w:t>
      </w:r>
      <w:r w:rsidRPr="00FF3897">
        <w:rPr>
          <w:rFonts w:ascii="Calibri" w:eastAsia="Times New Roman" w:hAnsi="Calibri" w:cs="Times New Roman"/>
          <w:b/>
          <w:bCs/>
          <w:iCs/>
          <w:caps/>
          <w:sz w:val="24"/>
          <w:szCs w:val="24"/>
        </w:rPr>
        <w:t>Osnovne računovodstvene politike</w:t>
      </w:r>
    </w:p>
    <w:p w14:paraId="5CDA15B6" w14:textId="77777777" w:rsidR="00F72849" w:rsidRPr="00FA3619" w:rsidRDefault="00F72849" w:rsidP="00F72849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0"/>
          <w:szCs w:val="20"/>
        </w:rPr>
      </w:pPr>
    </w:p>
    <w:p w14:paraId="357FD770" w14:textId="1449CC59" w:rsidR="00F72849" w:rsidRDefault="00F72849" w:rsidP="00F72849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 w:rsidRPr="00FA3619">
        <w:rPr>
          <w:rFonts w:ascii="Calibri" w:eastAsia="Times New Roman" w:hAnsi="Calibri" w:cs="Times New Roman"/>
          <w:iCs/>
          <w:sz w:val="24"/>
          <w:szCs w:val="24"/>
        </w:rPr>
        <w:t>Osnovne računovodstvene politike primijenjene kod sastavljanja financijskih izvještaja za 202</w:t>
      </w:r>
      <w:r w:rsidR="00D545AA">
        <w:rPr>
          <w:rFonts w:ascii="Calibri" w:eastAsia="Times New Roman" w:hAnsi="Calibri" w:cs="Times New Roman"/>
          <w:iCs/>
          <w:sz w:val="24"/>
          <w:szCs w:val="24"/>
        </w:rPr>
        <w:t>3</w:t>
      </w:r>
      <w:r w:rsidRPr="00FA3619">
        <w:rPr>
          <w:rFonts w:ascii="Calibri" w:eastAsia="Times New Roman" w:hAnsi="Calibri" w:cs="Times New Roman"/>
          <w:iCs/>
          <w:sz w:val="24"/>
          <w:szCs w:val="24"/>
        </w:rPr>
        <w:t>. godinu bile su iste kao u 20</w:t>
      </w:r>
      <w:r>
        <w:rPr>
          <w:rFonts w:ascii="Calibri" w:eastAsia="Times New Roman" w:hAnsi="Calibri" w:cs="Times New Roman"/>
          <w:iCs/>
          <w:sz w:val="24"/>
          <w:szCs w:val="24"/>
        </w:rPr>
        <w:t>2</w:t>
      </w:r>
      <w:r w:rsidR="00D545AA">
        <w:rPr>
          <w:rFonts w:ascii="Calibri" w:eastAsia="Times New Roman" w:hAnsi="Calibri" w:cs="Times New Roman"/>
          <w:iCs/>
          <w:sz w:val="24"/>
          <w:szCs w:val="24"/>
        </w:rPr>
        <w:t>2</w:t>
      </w:r>
      <w:r w:rsidRPr="00FA3619">
        <w:rPr>
          <w:rFonts w:ascii="Calibri" w:eastAsia="Times New Roman" w:hAnsi="Calibri" w:cs="Times New Roman"/>
          <w:iCs/>
          <w:sz w:val="24"/>
          <w:szCs w:val="24"/>
        </w:rPr>
        <w:t>. godini.</w:t>
      </w:r>
    </w:p>
    <w:p w14:paraId="0478A1E2" w14:textId="77777777" w:rsidR="00F72849" w:rsidRDefault="00F72849" w:rsidP="00F72849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</w:p>
    <w:p w14:paraId="09DFCC6B" w14:textId="77777777" w:rsidR="00F72849" w:rsidRPr="00085B4C" w:rsidRDefault="00F72849" w:rsidP="00F72849">
      <w:pPr>
        <w:spacing w:line="240" w:lineRule="auto"/>
        <w:ind w:right="-2"/>
        <w:jc w:val="both"/>
        <w:rPr>
          <w:rFonts w:cstheme="minorHAnsi"/>
          <w:b/>
          <w:bCs/>
          <w:sz w:val="24"/>
          <w:szCs w:val="24"/>
        </w:rPr>
      </w:pPr>
      <w:r w:rsidRPr="00085B4C">
        <w:rPr>
          <w:rFonts w:cstheme="minorHAnsi"/>
          <w:b/>
          <w:bCs/>
          <w:sz w:val="24"/>
          <w:szCs w:val="24"/>
        </w:rPr>
        <w:t>1.2.1. PRIHODI</w:t>
      </w:r>
    </w:p>
    <w:p w14:paraId="69B1EBC0" w14:textId="77777777" w:rsidR="00F72849" w:rsidRPr="00085B4C" w:rsidRDefault="00F72849" w:rsidP="00F72849">
      <w:pPr>
        <w:spacing w:before="240"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 xml:space="preserve">Prihodi predstavljaju povećanje ekonomskih koristi tijekom obračunskog razdoblja u obliku priljeva ili povećanja imovine ili smanjenja obveza, kada ti priljevi imaju za posljedicu povećanje kapitala, osim povećanja kapitala koje se odnosi na unose od strane sudionika u kapitalu. </w:t>
      </w:r>
    </w:p>
    <w:p w14:paraId="69AE1E82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sz w:val="24"/>
          <w:szCs w:val="24"/>
        </w:rPr>
        <w:t>Prihod se priznaje kada je vjerojatno da će buduće ekonomske koristi ulaziti kod poduzetnika i kada se koristi mogu pouzdano izmjeriti.</w:t>
      </w:r>
    </w:p>
    <w:p w14:paraId="57D5416F" w14:textId="77777777" w:rsidR="00F72849" w:rsidRPr="00085B4C" w:rsidRDefault="00F72849" w:rsidP="00F72849">
      <w:pPr>
        <w:spacing w:before="240" w:line="240" w:lineRule="auto"/>
        <w:ind w:right="92"/>
        <w:jc w:val="both"/>
        <w:rPr>
          <w:rFonts w:cstheme="minorHAnsi"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1.2.1.1. </w:t>
      </w:r>
      <w:r w:rsidRPr="00085B4C">
        <w:rPr>
          <w:rFonts w:cstheme="minorHAnsi"/>
          <w:b/>
          <w:bCs/>
          <w:iCs/>
          <w:smallCaps/>
          <w:sz w:val="24"/>
          <w:szCs w:val="24"/>
        </w:rPr>
        <w:t>POSLOVNI PRIHODI</w:t>
      </w:r>
    </w:p>
    <w:p w14:paraId="2B3C21DB" w14:textId="77777777" w:rsidR="00F72849" w:rsidRPr="00641723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bookmarkStart w:id="1" w:name="_Hlk136191105"/>
      <w:r w:rsidRPr="00085B4C">
        <w:rPr>
          <w:rFonts w:cstheme="minorHAnsi"/>
          <w:iCs/>
          <w:sz w:val="24"/>
          <w:szCs w:val="24"/>
        </w:rPr>
        <w:t xml:space="preserve">Poslovni prihodi obuhvaćaju prihode od prodaje i ostale poslovne prihode, a iskazani su po fakturiranoj </w:t>
      </w:r>
      <w:r w:rsidRPr="00411B33">
        <w:rPr>
          <w:rFonts w:cstheme="minorHAnsi"/>
          <w:iCs/>
          <w:sz w:val="24"/>
          <w:szCs w:val="24"/>
        </w:rPr>
        <w:t xml:space="preserve">vrijednosti (Bilješka </w:t>
      </w:r>
      <w:r w:rsidRPr="00641723">
        <w:rPr>
          <w:rFonts w:cstheme="minorHAnsi"/>
          <w:iCs/>
          <w:sz w:val="24"/>
          <w:szCs w:val="24"/>
        </w:rPr>
        <w:t>2.1.).</w:t>
      </w:r>
    </w:p>
    <w:p w14:paraId="3CEBA2EE" w14:textId="785BDC7F" w:rsidR="00F72849" w:rsidRPr="00641723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Prihodi od prodaje obuhvaćaju prihode od pružanja usluga odvoza i zbrinjavanja otpada, prodaje sekundarnih sirovina, usluga prikupljanja ambalažnog otpada</w:t>
      </w:r>
      <w:r w:rsidR="002C2EB5">
        <w:rPr>
          <w:rFonts w:cstheme="minorHAnsi"/>
          <w:iCs/>
          <w:sz w:val="24"/>
          <w:szCs w:val="24"/>
        </w:rPr>
        <w:t xml:space="preserve"> i</w:t>
      </w:r>
      <w:r w:rsidRPr="00641723">
        <w:rPr>
          <w:rFonts w:cstheme="minorHAnsi"/>
          <w:iCs/>
          <w:sz w:val="24"/>
          <w:szCs w:val="24"/>
        </w:rPr>
        <w:t xml:space="preserve"> od prodaje električne energije.</w:t>
      </w:r>
    </w:p>
    <w:p w14:paraId="36D64C2B" w14:textId="028E9398" w:rsidR="00F72849" w:rsidRPr="00085B4C" w:rsidRDefault="00F72849" w:rsidP="00F72849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lastRenderedPageBreak/>
        <w:t xml:space="preserve">Ostale poslovne prihode čine: </w:t>
      </w:r>
      <w:r w:rsidR="000D106E" w:rsidRPr="00227501">
        <w:rPr>
          <w:rFonts w:cstheme="minorHAnsi"/>
          <w:iCs/>
          <w:sz w:val="24"/>
          <w:szCs w:val="24"/>
        </w:rPr>
        <w:t>prihodi u visini amortizacije imovine nabavljene iz namjenskih sredstava,</w:t>
      </w:r>
      <w:r w:rsidR="000D106E">
        <w:rPr>
          <w:rFonts w:cstheme="minorHAnsi"/>
          <w:iCs/>
          <w:sz w:val="24"/>
          <w:szCs w:val="24"/>
        </w:rPr>
        <w:t xml:space="preserve"> </w:t>
      </w:r>
      <w:r w:rsidR="000D106E" w:rsidRPr="00085B4C">
        <w:rPr>
          <w:rFonts w:cstheme="minorHAnsi"/>
          <w:iCs/>
          <w:sz w:val="24"/>
          <w:szCs w:val="24"/>
        </w:rPr>
        <w:t>prihodi EU projekata</w:t>
      </w:r>
      <w:r w:rsidR="000D106E">
        <w:rPr>
          <w:rFonts w:cstheme="minorHAnsi"/>
          <w:iCs/>
          <w:sz w:val="24"/>
          <w:szCs w:val="24"/>
        </w:rPr>
        <w:t>,</w:t>
      </w:r>
      <w:r w:rsidR="000D106E" w:rsidRPr="00227501">
        <w:rPr>
          <w:rFonts w:cstheme="minorHAnsi"/>
          <w:iCs/>
          <w:sz w:val="24"/>
          <w:szCs w:val="24"/>
        </w:rPr>
        <w:t xml:space="preserve"> prihodi od naplaćenih vrijednosno usklađenih potraživanja </w:t>
      </w:r>
      <w:r w:rsidR="000D106E" w:rsidRPr="001B79E7">
        <w:rPr>
          <w:rFonts w:cstheme="minorHAnsi"/>
          <w:iCs/>
          <w:sz w:val="24"/>
          <w:szCs w:val="24"/>
        </w:rPr>
        <w:t xml:space="preserve">iz prethodnih godina, prihodi od najma, </w:t>
      </w:r>
      <w:r w:rsidRPr="001B79E7">
        <w:rPr>
          <w:rFonts w:cstheme="minorHAnsi"/>
          <w:iCs/>
          <w:sz w:val="24"/>
          <w:szCs w:val="24"/>
        </w:rPr>
        <w:t>naknade šteta od osiguranja</w:t>
      </w:r>
      <w:r w:rsidR="000D106E" w:rsidRPr="001B79E7">
        <w:rPr>
          <w:rFonts w:cstheme="minorHAnsi"/>
          <w:iCs/>
          <w:sz w:val="24"/>
          <w:szCs w:val="24"/>
        </w:rPr>
        <w:t xml:space="preserve"> te ostalih prihoda (</w:t>
      </w:r>
      <w:r w:rsidR="001B79E7" w:rsidRPr="001B79E7">
        <w:rPr>
          <w:rFonts w:cstheme="minorHAnsi"/>
          <w:iCs/>
          <w:sz w:val="24"/>
          <w:szCs w:val="24"/>
        </w:rPr>
        <w:t xml:space="preserve">subvencija za utrošenu </w:t>
      </w:r>
      <w:r w:rsidR="000D106E" w:rsidRPr="001B79E7">
        <w:rPr>
          <w:rFonts w:cstheme="minorHAnsi"/>
          <w:iCs/>
          <w:sz w:val="24"/>
          <w:szCs w:val="24"/>
        </w:rPr>
        <w:t>struju</w:t>
      </w:r>
      <w:r w:rsidRPr="001B79E7">
        <w:rPr>
          <w:rFonts w:cstheme="minorHAnsi"/>
          <w:iCs/>
          <w:sz w:val="24"/>
          <w:szCs w:val="24"/>
        </w:rPr>
        <w:t xml:space="preserve">, </w:t>
      </w:r>
      <w:r w:rsidR="001B79E7" w:rsidRPr="001B79E7">
        <w:rPr>
          <w:rFonts w:cstheme="minorHAnsi"/>
          <w:iCs/>
          <w:sz w:val="24"/>
          <w:szCs w:val="24"/>
        </w:rPr>
        <w:t>p</w:t>
      </w:r>
      <w:r w:rsidRPr="001B79E7">
        <w:rPr>
          <w:rFonts w:cstheme="minorHAnsi"/>
          <w:iCs/>
          <w:sz w:val="24"/>
          <w:szCs w:val="24"/>
        </w:rPr>
        <w:t>rihod za pokriće troškova neotpisane vrijednosti rashodovane i prodane imovine i slično</w:t>
      </w:r>
      <w:bookmarkEnd w:id="1"/>
      <w:r w:rsidR="001B79E7" w:rsidRPr="001B79E7">
        <w:rPr>
          <w:rFonts w:cstheme="minorHAnsi"/>
          <w:iCs/>
          <w:sz w:val="24"/>
          <w:szCs w:val="24"/>
        </w:rPr>
        <w:t>)</w:t>
      </w:r>
      <w:r w:rsidRPr="001B79E7">
        <w:rPr>
          <w:rFonts w:cstheme="minorHAnsi"/>
          <w:iCs/>
          <w:sz w:val="24"/>
          <w:szCs w:val="24"/>
        </w:rPr>
        <w:t>.</w:t>
      </w:r>
    </w:p>
    <w:p w14:paraId="5634E0F1" w14:textId="77777777" w:rsidR="00F72849" w:rsidRPr="00085B4C" w:rsidRDefault="00F72849" w:rsidP="00F72849">
      <w:pPr>
        <w:spacing w:line="240" w:lineRule="auto"/>
        <w:ind w:right="92"/>
        <w:jc w:val="both"/>
        <w:rPr>
          <w:rFonts w:cstheme="minorHAnsi"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1.2.1.2. </w:t>
      </w:r>
      <w:r w:rsidRPr="00085B4C">
        <w:rPr>
          <w:rFonts w:cstheme="minorHAnsi"/>
          <w:b/>
          <w:bCs/>
          <w:iCs/>
          <w:smallCaps/>
          <w:sz w:val="24"/>
          <w:szCs w:val="24"/>
        </w:rPr>
        <w:t>FINANCIJSKI PRIHODI</w:t>
      </w:r>
    </w:p>
    <w:p w14:paraId="45A656CA" w14:textId="2D2935F5" w:rsidR="00F72849" w:rsidRDefault="00F72849" w:rsidP="00F72849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Financijske prihode čine </w:t>
      </w:r>
      <w:r w:rsidRPr="00411B33">
        <w:rPr>
          <w:rFonts w:cstheme="minorHAnsi"/>
          <w:iCs/>
          <w:sz w:val="24"/>
          <w:szCs w:val="24"/>
        </w:rPr>
        <w:t xml:space="preserve">kamate na nepravodobna plaćanja, </w:t>
      </w:r>
      <w:r w:rsidR="0094103B" w:rsidRPr="00411B33">
        <w:rPr>
          <w:rFonts w:cstheme="minorHAnsi"/>
          <w:iCs/>
          <w:sz w:val="24"/>
          <w:szCs w:val="24"/>
        </w:rPr>
        <w:t>kamate na zajmove</w:t>
      </w:r>
      <w:r w:rsidR="0094103B">
        <w:rPr>
          <w:rFonts w:cstheme="minorHAnsi"/>
          <w:iCs/>
          <w:sz w:val="24"/>
          <w:szCs w:val="24"/>
        </w:rPr>
        <w:t xml:space="preserve"> te eventualne </w:t>
      </w:r>
      <w:r w:rsidRPr="00411B33">
        <w:rPr>
          <w:rFonts w:cstheme="minorHAnsi"/>
          <w:iCs/>
          <w:sz w:val="24"/>
          <w:szCs w:val="24"/>
        </w:rPr>
        <w:t xml:space="preserve">kamate </w:t>
      </w:r>
      <w:r w:rsidR="0094103B">
        <w:rPr>
          <w:rFonts w:cstheme="minorHAnsi"/>
          <w:iCs/>
          <w:sz w:val="24"/>
          <w:szCs w:val="24"/>
        </w:rPr>
        <w:t>po viđenju</w:t>
      </w:r>
      <w:r w:rsidR="0094103B" w:rsidRPr="0094103B">
        <w:rPr>
          <w:rFonts w:cstheme="minorHAnsi"/>
          <w:iCs/>
          <w:sz w:val="24"/>
          <w:szCs w:val="24"/>
        </w:rPr>
        <w:t xml:space="preserve"> i</w:t>
      </w:r>
      <w:r w:rsidRPr="00411B33">
        <w:rPr>
          <w:rFonts w:cstheme="minorHAnsi"/>
          <w:iCs/>
          <w:sz w:val="24"/>
          <w:szCs w:val="24"/>
        </w:rPr>
        <w:t xml:space="preserve"> </w:t>
      </w:r>
      <w:r w:rsidR="001B79E7">
        <w:rPr>
          <w:rFonts w:cstheme="minorHAnsi"/>
          <w:iCs/>
          <w:sz w:val="24"/>
          <w:szCs w:val="24"/>
        </w:rPr>
        <w:t>pozitivne tečajne razlike</w:t>
      </w:r>
      <w:r w:rsidRPr="00411B33">
        <w:rPr>
          <w:rFonts w:cstheme="minorHAnsi"/>
          <w:iCs/>
          <w:sz w:val="24"/>
          <w:szCs w:val="24"/>
        </w:rPr>
        <w:t xml:space="preserve"> </w:t>
      </w:r>
      <w:r w:rsidRPr="002C2EB5">
        <w:rPr>
          <w:rFonts w:cstheme="minorHAnsi"/>
          <w:iCs/>
          <w:sz w:val="24"/>
          <w:szCs w:val="24"/>
        </w:rPr>
        <w:t>(Bilješka 2.2.).</w:t>
      </w:r>
    </w:p>
    <w:p w14:paraId="7741CD6F" w14:textId="77777777" w:rsidR="00B625D5" w:rsidRPr="002C2EB5" w:rsidRDefault="00B625D5" w:rsidP="00F72849">
      <w:pPr>
        <w:spacing w:line="240" w:lineRule="auto"/>
        <w:ind w:right="92"/>
        <w:jc w:val="both"/>
        <w:rPr>
          <w:rFonts w:cstheme="minorHAnsi"/>
          <w:iCs/>
          <w:color w:val="FF0000"/>
          <w:sz w:val="24"/>
          <w:szCs w:val="24"/>
        </w:rPr>
      </w:pPr>
    </w:p>
    <w:p w14:paraId="195C6A0A" w14:textId="77777777" w:rsidR="00F72849" w:rsidRPr="00085B4C" w:rsidRDefault="00F72849" w:rsidP="00F72849">
      <w:pPr>
        <w:spacing w:line="240" w:lineRule="auto"/>
        <w:ind w:right="92"/>
        <w:jc w:val="both"/>
        <w:rPr>
          <w:rFonts w:cstheme="minorHAnsi"/>
          <w:iCs/>
          <w:smallCaps/>
          <w:sz w:val="24"/>
          <w:szCs w:val="24"/>
        </w:rPr>
      </w:pPr>
      <w:r w:rsidRPr="00703A36">
        <w:rPr>
          <w:rFonts w:cstheme="minorHAnsi"/>
          <w:b/>
          <w:bCs/>
          <w:iCs/>
          <w:sz w:val="24"/>
          <w:szCs w:val="24"/>
        </w:rPr>
        <w:t xml:space="preserve">1.2.2. </w:t>
      </w:r>
      <w:r w:rsidRPr="00703A36">
        <w:rPr>
          <w:rFonts w:cstheme="minorHAnsi"/>
          <w:b/>
          <w:bCs/>
          <w:iCs/>
          <w:smallCaps/>
          <w:sz w:val="24"/>
          <w:szCs w:val="24"/>
        </w:rPr>
        <w:t>RASHODI</w:t>
      </w:r>
    </w:p>
    <w:p w14:paraId="095CAF45" w14:textId="77777777" w:rsidR="00F72849" w:rsidRPr="00085B4C" w:rsidRDefault="00F72849" w:rsidP="00F72849">
      <w:pPr>
        <w:tabs>
          <w:tab w:val="left" w:pos="-180"/>
        </w:tabs>
        <w:spacing w:before="240"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b/>
          <w:sz w:val="24"/>
          <w:szCs w:val="24"/>
        </w:rPr>
        <w:t xml:space="preserve">Rashodi </w:t>
      </w:r>
      <w:r w:rsidRPr="00085B4C">
        <w:rPr>
          <w:rFonts w:cstheme="minorHAnsi"/>
          <w:sz w:val="24"/>
          <w:szCs w:val="24"/>
        </w:rPr>
        <w:t>predstavljaju smanjenja ekonomskih koristi kroz obračunsko razdoblje u obliku odljeva ili iscrpljenja imovine ili stvaranja obveza što za posljedicu ima smanjenje kapitala, osim onog u svezi s raspodjelom sudionicima u kapitalu.</w:t>
      </w:r>
    </w:p>
    <w:p w14:paraId="43BC8EEE" w14:textId="77777777" w:rsidR="00F72849" w:rsidRPr="00085B4C" w:rsidRDefault="00F72849" w:rsidP="00F72849">
      <w:pPr>
        <w:tabs>
          <w:tab w:val="left" w:pos="-180"/>
        </w:tabs>
        <w:spacing w:before="240"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>Rashodi se priznaju u računu dobiti i gubitka kada se mogu pouzdano izmjeriti. Priznavanje rashoda pojavljuje se istodobno s priznavanjem povećanja obveza ili smanjenja imovine.</w:t>
      </w:r>
    </w:p>
    <w:p w14:paraId="33C42863" w14:textId="77777777" w:rsidR="00F72849" w:rsidRPr="00085B4C" w:rsidRDefault="00F72849" w:rsidP="00F72849">
      <w:pPr>
        <w:tabs>
          <w:tab w:val="left" w:pos="-180"/>
        </w:tabs>
        <w:spacing w:before="240"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>Rashodi se priznaju u računu dobiti i gubitka na temelju izravne povezanosti između nastalih troškova i određene stavke prihoda, odnosno sučeljavanje rashoda s prihodima.</w:t>
      </w:r>
    </w:p>
    <w:p w14:paraId="074E3556" w14:textId="77777777" w:rsidR="00F72849" w:rsidRPr="00085B4C" w:rsidRDefault="00F72849" w:rsidP="00F72849">
      <w:pPr>
        <w:tabs>
          <w:tab w:val="left" w:pos="-180"/>
        </w:tabs>
        <w:spacing w:before="240" w:after="0" w:line="240" w:lineRule="auto"/>
        <w:ind w:right="-2"/>
        <w:jc w:val="both"/>
        <w:rPr>
          <w:rFonts w:cstheme="minorHAnsi"/>
          <w:sz w:val="24"/>
          <w:szCs w:val="24"/>
        </w:rPr>
      </w:pPr>
      <w:r w:rsidRPr="00085B4C">
        <w:rPr>
          <w:rFonts w:cstheme="minorHAnsi"/>
          <w:sz w:val="24"/>
          <w:szCs w:val="24"/>
        </w:rPr>
        <w:t xml:space="preserve">Svi rashodi koji se odnose na obračunsko razdoblje bez obzira na to kada će biti plaćeni knjiže se na teret računa rashoda, odnosno troškova razdoblja na koje se odnose. </w:t>
      </w:r>
    </w:p>
    <w:p w14:paraId="5E60CFC6" w14:textId="77777777" w:rsidR="00F72849" w:rsidRPr="00085B4C" w:rsidRDefault="00F72849" w:rsidP="00F72849">
      <w:pPr>
        <w:spacing w:before="240" w:line="240" w:lineRule="auto"/>
        <w:ind w:right="92"/>
        <w:jc w:val="both"/>
        <w:rPr>
          <w:rFonts w:cstheme="minorHAnsi"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1.2.2.1. </w:t>
      </w:r>
      <w:r w:rsidRPr="00085B4C">
        <w:rPr>
          <w:rFonts w:cstheme="minorHAnsi"/>
          <w:b/>
          <w:bCs/>
          <w:iCs/>
          <w:smallCaps/>
          <w:sz w:val="24"/>
          <w:szCs w:val="24"/>
        </w:rPr>
        <w:t>POSLOVNI RASHODI</w:t>
      </w:r>
    </w:p>
    <w:p w14:paraId="430FCD39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Poslovne rashode čine materijalni troškovi, troškovi osoblja, amortizacija, ostali troškovi, vrijednosno usklađenje potraživanja i ostali poslovni rashodi (Bilješka 3.1.).</w:t>
      </w:r>
    </w:p>
    <w:p w14:paraId="5040EBEE" w14:textId="2A111F40" w:rsidR="00F72849" w:rsidRPr="00085B4C" w:rsidRDefault="00F72849" w:rsidP="00F72849">
      <w:pPr>
        <w:tabs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/i/ </w:t>
      </w:r>
      <w:r w:rsidRPr="00085B4C">
        <w:rPr>
          <w:rFonts w:cstheme="minorHAnsi"/>
          <w:b/>
          <w:bCs/>
          <w:iCs/>
          <w:sz w:val="24"/>
          <w:szCs w:val="24"/>
        </w:rPr>
        <w:tab/>
        <w:t xml:space="preserve">Materijalne troškove </w:t>
      </w:r>
      <w:r w:rsidRPr="00085B4C">
        <w:rPr>
          <w:rFonts w:cstheme="minorHAnsi"/>
          <w:iCs/>
          <w:sz w:val="24"/>
          <w:szCs w:val="24"/>
        </w:rPr>
        <w:t xml:space="preserve">čine troškovi materijala, rezervnih dijelova, </w:t>
      </w:r>
      <w:r w:rsidR="00703A36" w:rsidRPr="00085B4C">
        <w:rPr>
          <w:rFonts w:cstheme="minorHAnsi"/>
          <w:iCs/>
          <w:sz w:val="24"/>
          <w:szCs w:val="24"/>
        </w:rPr>
        <w:t>troškovi sitnog inventara</w:t>
      </w:r>
      <w:r w:rsidR="00703A36">
        <w:rPr>
          <w:rFonts w:cstheme="minorHAnsi"/>
          <w:iCs/>
          <w:sz w:val="24"/>
          <w:szCs w:val="24"/>
        </w:rPr>
        <w:t>,</w:t>
      </w:r>
      <w:r w:rsidR="00703A36" w:rsidRPr="00085B4C">
        <w:rPr>
          <w:rFonts w:cstheme="minorHAnsi"/>
          <w:iCs/>
          <w:sz w:val="24"/>
          <w:szCs w:val="24"/>
        </w:rPr>
        <w:t xml:space="preserve"> </w:t>
      </w:r>
      <w:r w:rsidRPr="00085B4C">
        <w:rPr>
          <w:rFonts w:cstheme="minorHAnsi"/>
          <w:iCs/>
          <w:sz w:val="24"/>
          <w:szCs w:val="24"/>
        </w:rPr>
        <w:t>energije i goriva, zaštitne odjeće, poštanski i telefonski troškovi</w:t>
      </w:r>
      <w:r w:rsidR="00703A36">
        <w:rPr>
          <w:rFonts w:cstheme="minorHAnsi"/>
          <w:iCs/>
          <w:sz w:val="24"/>
          <w:szCs w:val="24"/>
        </w:rPr>
        <w:t>,</w:t>
      </w:r>
      <w:r w:rsidR="00703A36" w:rsidRPr="00703A36">
        <w:rPr>
          <w:rFonts w:cstheme="minorHAnsi"/>
          <w:iCs/>
          <w:sz w:val="24"/>
          <w:szCs w:val="24"/>
        </w:rPr>
        <w:t xml:space="preserve"> </w:t>
      </w:r>
      <w:r w:rsidR="00703A36" w:rsidRPr="00085B4C">
        <w:rPr>
          <w:rFonts w:cstheme="minorHAnsi"/>
          <w:iCs/>
          <w:sz w:val="24"/>
          <w:szCs w:val="24"/>
        </w:rPr>
        <w:t>prijevozne usluge</w:t>
      </w:r>
      <w:r w:rsidRPr="00085B4C">
        <w:rPr>
          <w:rFonts w:cstheme="minorHAnsi"/>
          <w:iCs/>
          <w:sz w:val="24"/>
          <w:szCs w:val="24"/>
        </w:rPr>
        <w:t xml:space="preserve">, tekuće i investicijsko održavanje, intelektualne usluge, troškovi vanjskih usluga EU projekta, troškovi zbrinjavanja otpada u Županijskom centru za gospodarenje otpadom Marišćina, </w:t>
      </w:r>
      <w:r w:rsidR="00703A36">
        <w:rPr>
          <w:rFonts w:cstheme="minorHAnsi"/>
          <w:iCs/>
          <w:sz w:val="24"/>
          <w:szCs w:val="24"/>
        </w:rPr>
        <w:t xml:space="preserve">troškovi zbrinjavanja glomaznog otpada, </w:t>
      </w:r>
      <w:r w:rsidRPr="00085B4C">
        <w:rPr>
          <w:rFonts w:cstheme="minorHAnsi"/>
          <w:iCs/>
          <w:sz w:val="24"/>
          <w:szCs w:val="24"/>
        </w:rPr>
        <w:t>troškovi knjigovodstva i objedinjene naplate te ostale usluge.</w:t>
      </w:r>
    </w:p>
    <w:p w14:paraId="65A7FCB3" w14:textId="77777777" w:rsidR="00F72849" w:rsidRPr="00085B4C" w:rsidRDefault="00F72849" w:rsidP="00F72849">
      <w:pPr>
        <w:pStyle w:val="BodyText"/>
        <w:spacing w:before="240"/>
        <w:ind w:right="92"/>
        <w:rPr>
          <w:rFonts w:asciiTheme="minorHAnsi" w:hAnsiTheme="minorHAnsi" w:cstheme="minorHAnsi"/>
        </w:rPr>
      </w:pPr>
      <w:r w:rsidRPr="00085B4C">
        <w:rPr>
          <w:rFonts w:asciiTheme="minorHAnsi" w:hAnsiTheme="minorHAnsi" w:cstheme="minorHAnsi"/>
        </w:rPr>
        <w:t>Troškovi tekućeg i investicijskog održavanja vlastitih sredstava rada pokrivaju se iz prihoda obračunskog razdoblja kada nastanu. Rekonstrukcije i adaptacije kojima se mijenja kapacitet ili namjena osnovnih sredstava, knjiže se kao povećanje vrijednosti osnovnih sredstava.</w:t>
      </w:r>
    </w:p>
    <w:p w14:paraId="789646CD" w14:textId="77777777" w:rsidR="00F72849" w:rsidRDefault="00F72849" w:rsidP="00F72849">
      <w:pPr>
        <w:tabs>
          <w:tab w:val="left" w:pos="-180"/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/ii/</w:t>
      </w:r>
      <w:r w:rsidRPr="00085B4C">
        <w:rPr>
          <w:rFonts w:cstheme="minorHAnsi"/>
          <w:b/>
          <w:bCs/>
          <w:iCs/>
          <w:sz w:val="24"/>
          <w:szCs w:val="24"/>
        </w:rPr>
        <w:tab/>
        <w:t xml:space="preserve">Troškove osoblja </w:t>
      </w:r>
      <w:r w:rsidRPr="00085B4C">
        <w:rPr>
          <w:rFonts w:cstheme="minorHAnsi"/>
          <w:iCs/>
          <w:sz w:val="24"/>
          <w:szCs w:val="24"/>
        </w:rPr>
        <w:t>čine neto plaće i naknade plaća zajedno s porezima i doprinosima iz i na plaće.</w:t>
      </w:r>
    </w:p>
    <w:p w14:paraId="376CBDEC" w14:textId="77777777" w:rsidR="00163AD5" w:rsidRDefault="00163AD5" w:rsidP="00F72849">
      <w:pPr>
        <w:tabs>
          <w:tab w:val="left" w:pos="-180"/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6F0B637E" w14:textId="77777777" w:rsidR="00163AD5" w:rsidRPr="00085B4C" w:rsidRDefault="00163AD5" w:rsidP="00F72849">
      <w:pPr>
        <w:tabs>
          <w:tab w:val="left" w:pos="-180"/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38271644" w14:textId="77777777" w:rsidR="00F72849" w:rsidRPr="00085B4C" w:rsidRDefault="00F72849" w:rsidP="00F72849">
      <w:pPr>
        <w:tabs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lastRenderedPageBreak/>
        <w:t>/iii/</w:t>
      </w:r>
      <w:r w:rsidRPr="00085B4C">
        <w:rPr>
          <w:rFonts w:cstheme="minorHAnsi"/>
          <w:b/>
          <w:bCs/>
          <w:iCs/>
          <w:sz w:val="24"/>
          <w:szCs w:val="24"/>
        </w:rPr>
        <w:tab/>
        <w:t>Amortizacija</w:t>
      </w:r>
    </w:p>
    <w:p w14:paraId="4E8E08D7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Obračun amortizacije obavlja se pojedinačno za svako sredstvo razvrstano po amortizacijskim grupama po linearnoj metodi, a po stopama koje ne prelaze porezno dopustive stope.</w:t>
      </w:r>
    </w:p>
    <w:p w14:paraId="39F60DA7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Novonabavljena imovina amortizira se od prvog dana sljedećeg mjeseca kad se stavi u uporabu.</w:t>
      </w:r>
    </w:p>
    <w:p w14:paraId="2F768893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U slučaju rashoda ili prodaje, imovina se amortizira zaključno s mjesecom u kojem je došlo do rashoda ili otuđenja.</w:t>
      </w:r>
    </w:p>
    <w:p w14:paraId="71623F20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411B33">
        <w:rPr>
          <w:rFonts w:cstheme="minorHAnsi"/>
          <w:iCs/>
          <w:sz w:val="24"/>
          <w:szCs w:val="24"/>
        </w:rPr>
        <w:t>Jedanput amortizirano sredstvo dugotrajne imovine više se ne otpisuje.</w:t>
      </w:r>
    </w:p>
    <w:p w14:paraId="611C92A7" w14:textId="4E211C3B" w:rsidR="00F72849" w:rsidRPr="00085B4C" w:rsidRDefault="00F72849" w:rsidP="00F72849">
      <w:pPr>
        <w:tabs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color w:val="FF0000"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/iv/</w:t>
      </w:r>
      <w:r w:rsidRPr="00085B4C">
        <w:rPr>
          <w:rFonts w:cstheme="minorHAnsi"/>
          <w:b/>
          <w:bCs/>
          <w:iCs/>
          <w:sz w:val="24"/>
          <w:szCs w:val="24"/>
        </w:rPr>
        <w:tab/>
        <w:t>Ostale troškove poslovanja</w:t>
      </w:r>
      <w:r w:rsidRPr="00085B4C">
        <w:rPr>
          <w:rFonts w:cstheme="minorHAnsi"/>
          <w:iCs/>
          <w:sz w:val="24"/>
          <w:szCs w:val="24"/>
        </w:rPr>
        <w:t xml:space="preserve"> čine dnevnice</w:t>
      </w:r>
      <w:r w:rsidR="00703A36">
        <w:rPr>
          <w:rFonts w:cstheme="minorHAnsi"/>
          <w:iCs/>
          <w:sz w:val="24"/>
          <w:szCs w:val="24"/>
        </w:rPr>
        <w:t xml:space="preserve"> za službena putovanja</w:t>
      </w:r>
      <w:r w:rsidRPr="00085B4C">
        <w:rPr>
          <w:rFonts w:cstheme="minorHAnsi"/>
          <w:iCs/>
          <w:sz w:val="24"/>
          <w:szCs w:val="24"/>
        </w:rPr>
        <w:t>, troškovi prijevoza na posao i s posla, ostala materijalna prava zaposlenih, premije osiguranja, troškovi stručnog obrazovanja, reprezentacija, vodoprivredna i komunalne naknade,  članarine komorama, bankarske usluge.</w:t>
      </w:r>
    </w:p>
    <w:p w14:paraId="2032FD64" w14:textId="77777777" w:rsidR="00F72849" w:rsidRPr="00085B4C" w:rsidRDefault="00F72849" w:rsidP="00F72849">
      <w:pPr>
        <w:tabs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/v/</w:t>
      </w:r>
      <w:r w:rsidRPr="00085B4C">
        <w:rPr>
          <w:rFonts w:cstheme="minorHAnsi"/>
          <w:b/>
          <w:bCs/>
          <w:iCs/>
          <w:sz w:val="24"/>
          <w:szCs w:val="24"/>
        </w:rPr>
        <w:tab/>
        <w:t xml:space="preserve">Vrijednosno usklađenje </w:t>
      </w:r>
      <w:r w:rsidRPr="00085B4C">
        <w:rPr>
          <w:rFonts w:cstheme="minorHAnsi"/>
          <w:iCs/>
          <w:sz w:val="24"/>
          <w:szCs w:val="24"/>
        </w:rPr>
        <w:t>kratkotrajne imovine obuhvaća usklađivanje vrijednosti potraživanja od kupaca koja su utužena ili za koja je pokrenut postupak ovrhe te od kupaca u stečaju ili predstečajnoj nagodbi.</w:t>
      </w:r>
    </w:p>
    <w:p w14:paraId="5F2FAE4F" w14:textId="77777777" w:rsidR="00F72849" w:rsidRPr="00085B4C" w:rsidRDefault="00F72849" w:rsidP="00F72849">
      <w:pPr>
        <w:tabs>
          <w:tab w:val="left" w:pos="567"/>
          <w:tab w:val="left" w:pos="84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/vi/</w:t>
      </w:r>
      <w:r w:rsidRPr="00085B4C">
        <w:rPr>
          <w:rFonts w:cstheme="minorHAnsi"/>
          <w:b/>
          <w:bCs/>
          <w:iCs/>
          <w:sz w:val="24"/>
          <w:szCs w:val="24"/>
        </w:rPr>
        <w:tab/>
        <w:t xml:space="preserve">Ostali poslovni rashodi </w:t>
      </w:r>
      <w:r w:rsidRPr="00085B4C">
        <w:rPr>
          <w:rFonts w:cstheme="minorHAnsi"/>
          <w:iCs/>
          <w:sz w:val="24"/>
          <w:szCs w:val="24"/>
        </w:rPr>
        <w:t>odnose se na neotpisanu vrijednost prodane i rashodovane dugotrajne materijalne imovine i ostale rashode.</w:t>
      </w:r>
    </w:p>
    <w:p w14:paraId="433EE364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1.2.2.2. </w:t>
      </w:r>
      <w:r w:rsidRPr="00085B4C">
        <w:rPr>
          <w:rFonts w:cstheme="minorHAnsi"/>
          <w:b/>
          <w:bCs/>
          <w:iCs/>
          <w:smallCaps/>
          <w:sz w:val="24"/>
          <w:szCs w:val="24"/>
        </w:rPr>
        <w:t>FINANCIJSKI RASHODI</w:t>
      </w:r>
    </w:p>
    <w:p w14:paraId="5EA6533C" w14:textId="441744A7" w:rsidR="00F72849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703A36">
        <w:rPr>
          <w:rFonts w:cstheme="minorHAnsi"/>
          <w:iCs/>
          <w:sz w:val="24"/>
          <w:szCs w:val="24"/>
        </w:rPr>
        <w:t>Financijske rashode čine kamate po kreditima</w:t>
      </w:r>
      <w:r w:rsidR="00703A36" w:rsidRPr="00703A36">
        <w:rPr>
          <w:rFonts w:cstheme="minorHAnsi"/>
          <w:iCs/>
          <w:sz w:val="24"/>
          <w:szCs w:val="24"/>
        </w:rPr>
        <w:t>,</w:t>
      </w:r>
      <w:r w:rsidRPr="00703A36">
        <w:rPr>
          <w:rFonts w:cstheme="minorHAnsi"/>
          <w:iCs/>
          <w:sz w:val="24"/>
          <w:szCs w:val="24"/>
        </w:rPr>
        <w:t xml:space="preserve"> </w:t>
      </w:r>
      <w:r w:rsidR="00703A36" w:rsidRPr="00703A36">
        <w:rPr>
          <w:rFonts w:cstheme="minorHAnsi"/>
          <w:iCs/>
          <w:sz w:val="24"/>
          <w:szCs w:val="24"/>
        </w:rPr>
        <w:t xml:space="preserve">zatezne kamate, </w:t>
      </w:r>
      <w:r w:rsidRPr="00703A36">
        <w:rPr>
          <w:rFonts w:cstheme="minorHAnsi"/>
          <w:iCs/>
          <w:sz w:val="24"/>
          <w:szCs w:val="24"/>
        </w:rPr>
        <w:t xml:space="preserve">i negativne tečajne razlike </w:t>
      </w:r>
      <w:r w:rsidRPr="00085B4C">
        <w:rPr>
          <w:rFonts w:cstheme="minorHAnsi"/>
          <w:iCs/>
          <w:sz w:val="24"/>
          <w:szCs w:val="24"/>
        </w:rPr>
        <w:t>(Bilješka 3.2.).</w:t>
      </w:r>
    </w:p>
    <w:p w14:paraId="0F0F5825" w14:textId="77777777" w:rsidR="00B625D5" w:rsidRPr="00085B4C" w:rsidRDefault="00B625D5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2DD411D2" w14:textId="77777777" w:rsidR="00F72849" w:rsidRPr="00085B4C" w:rsidRDefault="00F72849" w:rsidP="00F72849">
      <w:pPr>
        <w:pStyle w:val="ListParagraph"/>
        <w:numPr>
          <w:ilvl w:val="2"/>
          <w:numId w:val="19"/>
        </w:numPr>
        <w:tabs>
          <w:tab w:val="left" w:pos="567"/>
        </w:tabs>
        <w:spacing w:before="24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DOBIT/GUBITAK TEKUĆE GODINE</w:t>
      </w:r>
    </w:p>
    <w:p w14:paraId="3BBC63C8" w14:textId="554C4B96" w:rsidR="00F72849" w:rsidRDefault="00F72849" w:rsidP="00F72849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Iz razlike ukupnih prihoda i rashoda proizlazi rezultat poslovne godine prije oporezivanja. Prema obračunu poreza na dobit, Društvo </w:t>
      </w:r>
      <w:r w:rsidR="00325FF6">
        <w:rPr>
          <w:rFonts w:cstheme="minorHAnsi"/>
          <w:iCs/>
          <w:sz w:val="24"/>
          <w:szCs w:val="24"/>
        </w:rPr>
        <w:t>ima</w:t>
      </w:r>
      <w:r w:rsidRPr="00085B4C">
        <w:rPr>
          <w:rFonts w:cstheme="minorHAnsi"/>
          <w:iCs/>
          <w:sz w:val="24"/>
          <w:szCs w:val="24"/>
        </w:rPr>
        <w:t xml:space="preserve"> obvezu poreza na dobit (Bilješka 4).</w:t>
      </w:r>
    </w:p>
    <w:p w14:paraId="454CB5DD" w14:textId="77777777" w:rsidR="00F72849" w:rsidRDefault="00F72849" w:rsidP="00F72849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2AE9C0B2" w14:textId="77777777" w:rsidR="00F72849" w:rsidRDefault="00F72849" w:rsidP="00F72849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6492253C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1A7B7A">
        <w:rPr>
          <w:rFonts w:cstheme="minorHAnsi"/>
          <w:b/>
          <w:bCs/>
          <w:iCs/>
          <w:smallCaps/>
          <w:sz w:val="24"/>
          <w:szCs w:val="24"/>
        </w:rPr>
        <w:t>1.2.4. DUGOTRAJNA MATERIJALNA I NEMATERIJALNA IMOVINA</w:t>
      </w:r>
    </w:p>
    <w:p w14:paraId="55AB4DF4" w14:textId="77777777" w:rsidR="00F72849" w:rsidRPr="00085B4C" w:rsidRDefault="00F72849" w:rsidP="00F72849">
      <w:pPr>
        <w:spacing w:before="24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Ulaganja u materijalnu i nematerijalnu imovinu tijekom godine evidentiraju se po nabavnoj vrijednosti. Nabavnu vrijednost čini fakturna vrijednost nabavljene imovine uvećana za sve troškove nastale do njezinog stavljanja u uporabu (Bilješka 5).</w:t>
      </w:r>
    </w:p>
    <w:p w14:paraId="27DA7DB5" w14:textId="18BEFA50" w:rsidR="00F72849" w:rsidRPr="00085B4C" w:rsidRDefault="00F72849" w:rsidP="00F72849">
      <w:pPr>
        <w:spacing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Stvari i oprema se evidentiraju kao dugotrajna imovina, ako im je vijek trajanja duži od jedne godine i pojedinačna nabavna cijena veća od </w:t>
      </w:r>
      <w:r w:rsidR="001B3EC3">
        <w:rPr>
          <w:rFonts w:cstheme="minorHAnsi"/>
          <w:iCs/>
          <w:sz w:val="24"/>
          <w:szCs w:val="24"/>
        </w:rPr>
        <w:t>464,53 eur.</w:t>
      </w:r>
    </w:p>
    <w:p w14:paraId="04154A18" w14:textId="77777777" w:rsidR="00F72849" w:rsidRPr="00085B4C" w:rsidRDefault="00F72849" w:rsidP="00F72849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Neotpisana vrijednost otuđenih i rashodovanih sredstava knjiži se na teret ostalih poslovnih rashoda. </w:t>
      </w:r>
    </w:p>
    <w:p w14:paraId="3FC83D2E" w14:textId="3CA9D763" w:rsidR="00F72849" w:rsidRPr="00085B4C" w:rsidRDefault="00F72849" w:rsidP="00F72849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lastRenderedPageBreak/>
        <w:t>Društvo koristi sljedeće stope amortizacije (Bilješka 3.1.3.):</w:t>
      </w:r>
    </w:p>
    <w:tbl>
      <w:tblPr>
        <w:tblW w:w="9216" w:type="dxa"/>
        <w:tblLook w:val="04A0" w:firstRow="1" w:lastRow="0" w:firstColumn="1" w:lastColumn="0" w:noHBand="0" w:noVBand="1"/>
      </w:tblPr>
      <w:tblGrid>
        <w:gridCol w:w="6345"/>
        <w:gridCol w:w="1026"/>
        <w:gridCol w:w="535"/>
        <w:gridCol w:w="1310"/>
      </w:tblGrid>
      <w:tr w:rsidR="00F72849" w:rsidRPr="00085B4C" w14:paraId="01C2207A" w14:textId="77777777" w:rsidTr="003619C2">
        <w:trPr>
          <w:trHeight w:val="241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7FDFEBF8" w14:textId="77777777" w:rsidR="00F72849" w:rsidRPr="00085B4C" w:rsidRDefault="00F72849" w:rsidP="003619C2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bookmarkStart w:id="2" w:name="_MON_1395750453"/>
            <w:bookmarkStart w:id="3" w:name="_MON_1395750458"/>
            <w:bookmarkStart w:id="4" w:name="_MON_1395754293"/>
            <w:bookmarkStart w:id="5" w:name="_MON_1395754329"/>
            <w:bookmarkStart w:id="6" w:name="_MON_1395754457"/>
            <w:bookmarkStart w:id="7" w:name="_MON_1395816806"/>
            <w:bookmarkStart w:id="8" w:name="_MON_1395833668"/>
            <w:bookmarkStart w:id="9" w:name="_MON_1395749996"/>
            <w:bookmarkStart w:id="10" w:name="_MON_1395750070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1026" w:type="dxa"/>
            <w:vAlign w:val="bottom"/>
          </w:tcPr>
          <w:p w14:paraId="4C6C7644" w14:textId="6A02E353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85B4C">
              <w:rPr>
                <w:rFonts w:cstheme="minorHAnsi"/>
                <w:b/>
                <w:bCs/>
                <w:iCs/>
                <w:sz w:val="24"/>
                <w:szCs w:val="24"/>
              </w:rPr>
              <w:t>202</w:t>
            </w:r>
            <w:r w:rsidR="002C2EB5">
              <w:rPr>
                <w:rFonts w:cstheme="minorHAnsi"/>
                <w:b/>
                <w:bCs/>
                <w:iCs/>
                <w:sz w:val="24"/>
                <w:szCs w:val="24"/>
              </w:rPr>
              <w:t>2</w:t>
            </w:r>
            <w:r w:rsidRPr="00085B4C">
              <w:rPr>
                <w:rFonts w:cstheme="minorHAnsi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35" w:type="dxa"/>
          </w:tcPr>
          <w:p w14:paraId="7801DB34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7A43452F" w14:textId="7135C95F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85B4C">
              <w:rPr>
                <w:rFonts w:cstheme="minorHAnsi"/>
                <w:b/>
                <w:bCs/>
                <w:iCs/>
                <w:sz w:val="24"/>
                <w:szCs w:val="24"/>
              </w:rPr>
              <w:t>202</w:t>
            </w:r>
            <w:r w:rsidR="002C2EB5">
              <w:rPr>
                <w:rFonts w:cstheme="minorHAnsi"/>
                <w:b/>
                <w:bCs/>
                <w:iCs/>
                <w:sz w:val="24"/>
                <w:szCs w:val="24"/>
              </w:rPr>
              <w:t>3</w:t>
            </w:r>
            <w:r w:rsidRPr="00085B4C">
              <w:rPr>
                <w:rFonts w:cstheme="minorHAnsi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F72849" w:rsidRPr="00085B4C" w14:paraId="6586BD4C" w14:textId="77777777" w:rsidTr="003619C2">
        <w:trPr>
          <w:trHeight w:val="241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0F649A4D" w14:textId="77777777" w:rsidR="00F72849" w:rsidRPr="00085B4C" w:rsidRDefault="00F72849" w:rsidP="003619C2">
            <w:pPr>
              <w:spacing w:after="0" w:line="240" w:lineRule="auto"/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26" w:type="dxa"/>
            <w:vAlign w:val="bottom"/>
          </w:tcPr>
          <w:p w14:paraId="2180355F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85B4C">
              <w:rPr>
                <w:rFonts w:cstheme="minorHAnsi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35" w:type="dxa"/>
          </w:tcPr>
          <w:p w14:paraId="4E8C4D3C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777BDAD3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85B4C">
              <w:rPr>
                <w:rFonts w:cstheme="minorHAnsi"/>
                <w:b/>
                <w:bCs/>
                <w:iCs/>
                <w:sz w:val="24"/>
                <w:szCs w:val="24"/>
              </w:rPr>
              <w:t>%</w:t>
            </w:r>
          </w:p>
        </w:tc>
      </w:tr>
      <w:tr w:rsidR="00F72849" w:rsidRPr="00085B4C" w14:paraId="05F26FB1" w14:textId="77777777" w:rsidTr="003619C2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7D18F522" w14:textId="77777777" w:rsidR="00F72849" w:rsidRPr="00085B4C" w:rsidRDefault="00F72849" w:rsidP="003619C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za građevinske objekte</w:t>
            </w:r>
          </w:p>
        </w:tc>
        <w:tc>
          <w:tcPr>
            <w:tcW w:w="1026" w:type="dxa"/>
            <w:vAlign w:val="bottom"/>
          </w:tcPr>
          <w:p w14:paraId="4181021A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1,5-10</w:t>
            </w:r>
          </w:p>
        </w:tc>
        <w:tc>
          <w:tcPr>
            <w:tcW w:w="535" w:type="dxa"/>
          </w:tcPr>
          <w:p w14:paraId="0D3A76E4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16EFBB55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1,5-10</w:t>
            </w:r>
          </w:p>
        </w:tc>
      </w:tr>
      <w:tr w:rsidR="00F72849" w:rsidRPr="00085B4C" w14:paraId="6EB409ED" w14:textId="77777777" w:rsidTr="003619C2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40B39B8A" w14:textId="77777777" w:rsidR="00F72849" w:rsidRPr="00085B4C" w:rsidRDefault="00F72849" w:rsidP="003619C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osobne automobile</w:t>
            </w:r>
          </w:p>
        </w:tc>
        <w:tc>
          <w:tcPr>
            <w:tcW w:w="1026" w:type="dxa"/>
            <w:vAlign w:val="bottom"/>
          </w:tcPr>
          <w:p w14:paraId="4562C67D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15,5</w:t>
            </w:r>
          </w:p>
        </w:tc>
        <w:tc>
          <w:tcPr>
            <w:tcW w:w="535" w:type="dxa"/>
          </w:tcPr>
          <w:p w14:paraId="79657C94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45692B6F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15,5</w:t>
            </w:r>
          </w:p>
        </w:tc>
      </w:tr>
      <w:tr w:rsidR="00F72849" w:rsidRPr="00085B4C" w14:paraId="32B7D668" w14:textId="77777777" w:rsidTr="003619C2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0BEDC9AE" w14:textId="77777777" w:rsidR="00F72849" w:rsidRPr="00085B4C" w:rsidRDefault="00F72849" w:rsidP="003619C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nematerijalnu imovinu, opremu i vozila</w:t>
            </w:r>
          </w:p>
        </w:tc>
        <w:tc>
          <w:tcPr>
            <w:tcW w:w="1026" w:type="dxa"/>
            <w:vAlign w:val="bottom"/>
          </w:tcPr>
          <w:p w14:paraId="3C5EC000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5-12,5</w:t>
            </w:r>
          </w:p>
        </w:tc>
        <w:tc>
          <w:tcPr>
            <w:tcW w:w="535" w:type="dxa"/>
          </w:tcPr>
          <w:p w14:paraId="19F884C9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6E0AE31E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5-12,5</w:t>
            </w:r>
          </w:p>
        </w:tc>
      </w:tr>
      <w:tr w:rsidR="00F72849" w:rsidRPr="00085B4C" w14:paraId="291955A7" w14:textId="77777777" w:rsidTr="003619C2">
        <w:trPr>
          <w:trHeight w:val="284"/>
        </w:trPr>
        <w:tc>
          <w:tcPr>
            <w:tcW w:w="6345" w:type="dxa"/>
            <w:shd w:val="clear" w:color="auto" w:fill="auto"/>
            <w:vAlign w:val="bottom"/>
            <w:hideMark/>
          </w:tcPr>
          <w:p w14:paraId="51A92BD2" w14:textId="77777777" w:rsidR="00F72849" w:rsidRPr="00085B4C" w:rsidRDefault="00F72849" w:rsidP="003619C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računala, računalnu opremu, programe, telefone i opremu za računalne mreže</w:t>
            </w:r>
          </w:p>
        </w:tc>
        <w:tc>
          <w:tcPr>
            <w:tcW w:w="1026" w:type="dxa"/>
            <w:vAlign w:val="bottom"/>
          </w:tcPr>
          <w:p w14:paraId="62030189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10 - 50</w:t>
            </w:r>
          </w:p>
        </w:tc>
        <w:tc>
          <w:tcPr>
            <w:tcW w:w="535" w:type="dxa"/>
          </w:tcPr>
          <w:p w14:paraId="285ED457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5904D2D7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10 - 50</w:t>
            </w:r>
          </w:p>
        </w:tc>
      </w:tr>
      <w:tr w:rsidR="00F72849" w:rsidRPr="00085B4C" w14:paraId="3849D7FA" w14:textId="77777777" w:rsidTr="003619C2">
        <w:trPr>
          <w:trHeight w:val="284"/>
        </w:trPr>
        <w:tc>
          <w:tcPr>
            <w:tcW w:w="6345" w:type="dxa"/>
            <w:shd w:val="clear" w:color="auto" w:fill="auto"/>
            <w:noWrap/>
            <w:vAlign w:val="bottom"/>
            <w:hideMark/>
          </w:tcPr>
          <w:p w14:paraId="4BF7AF73" w14:textId="77777777" w:rsidR="00F72849" w:rsidRPr="00085B4C" w:rsidRDefault="00F72849" w:rsidP="003619C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ostalu nespomenutu imovinu</w:t>
            </w:r>
          </w:p>
        </w:tc>
        <w:tc>
          <w:tcPr>
            <w:tcW w:w="1026" w:type="dxa"/>
            <w:vAlign w:val="bottom"/>
          </w:tcPr>
          <w:p w14:paraId="7812A910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6,7 -20</w:t>
            </w:r>
          </w:p>
        </w:tc>
        <w:tc>
          <w:tcPr>
            <w:tcW w:w="535" w:type="dxa"/>
          </w:tcPr>
          <w:p w14:paraId="7EECC64A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5C801245" w14:textId="77777777" w:rsidR="00F72849" w:rsidRPr="00085B4C" w:rsidRDefault="00F72849" w:rsidP="003619C2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085B4C">
              <w:rPr>
                <w:rFonts w:cstheme="minorHAnsi"/>
                <w:iCs/>
                <w:sz w:val="24"/>
                <w:szCs w:val="24"/>
              </w:rPr>
              <w:t>6,7 - 20</w:t>
            </w:r>
          </w:p>
        </w:tc>
      </w:tr>
    </w:tbl>
    <w:p w14:paraId="03EF75C7" w14:textId="77777777" w:rsidR="00F72849" w:rsidRPr="00085B4C" w:rsidRDefault="00F72849" w:rsidP="00F72849">
      <w:pPr>
        <w:spacing w:after="0" w:line="240" w:lineRule="auto"/>
        <w:ind w:right="92"/>
        <w:jc w:val="both"/>
        <w:rPr>
          <w:rFonts w:cstheme="minorHAnsi"/>
          <w:b/>
          <w:bCs/>
          <w:iCs/>
          <w:smallCaps/>
          <w:sz w:val="24"/>
          <w:szCs w:val="24"/>
        </w:rPr>
      </w:pPr>
    </w:p>
    <w:p w14:paraId="5CCD3A9E" w14:textId="77777777" w:rsidR="0094103B" w:rsidRDefault="0094103B" w:rsidP="00F72849">
      <w:pPr>
        <w:spacing w:after="0" w:line="240" w:lineRule="auto"/>
        <w:ind w:right="92"/>
        <w:jc w:val="both"/>
        <w:rPr>
          <w:rFonts w:cstheme="minorHAnsi"/>
          <w:b/>
          <w:bCs/>
          <w:iCs/>
          <w:smallCaps/>
          <w:sz w:val="24"/>
          <w:szCs w:val="24"/>
        </w:rPr>
      </w:pPr>
    </w:p>
    <w:p w14:paraId="1486129C" w14:textId="7ACB1ABA" w:rsidR="00F72849" w:rsidRPr="00085B4C" w:rsidRDefault="00F72849" w:rsidP="00F72849">
      <w:pPr>
        <w:spacing w:after="0" w:line="240" w:lineRule="auto"/>
        <w:ind w:right="92"/>
        <w:jc w:val="both"/>
        <w:rPr>
          <w:rFonts w:cstheme="minorHAnsi"/>
          <w:b/>
          <w:bCs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mallCaps/>
          <w:sz w:val="24"/>
          <w:szCs w:val="24"/>
        </w:rPr>
        <w:t>1.2.5. DUGOTRAJNA FINANCIJSKA IMOVINA</w:t>
      </w:r>
    </w:p>
    <w:p w14:paraId="7684B0CD" w14:textId="77777777" w:rsidR="00F72849" w:rsidRPr="00641723" w:rsidRDefault="00F72849" w:rsidP="00F72849">
      <w:pPr>
        <w:pStyle w:val="BodyText"/>
        <w:spacing w:before="240" w:after="240"/>
        <w:rPr>
          <w:rFonts w:asciiTheme="minorHAnsi" w:hAnsiTheme="minorHAnsi" w:cstheme="minorHAnsi"/>
          <w:i/>
          <w:iCs/>
        </w:rPr>
      </w:pPr>
      <w:r w:rsidRPr="00085B4C">
        <w:rPr>
          <w:rFonts w:asciiTheme="minorHAnsi" w:hAnsiTheme="minorHAnsi" w:cstheme="minorHAnsi"/>
          <w:iCs/>
        </w:rPr>
        <w:t xml:space="preserve">Financijska imovina obuhvaća dionice i udjele, dane zajmove, sudjelujuće interese, depozite te ostalu financijsku imovinu. Financijska imovina se ne amortizira. Priznavanje, mjerenje i prestanak priznavanja obavlja se u skladu s </w:t>
      </w:r>
      <w:r w:rsidRPr="00641723">
        <w:rPr>
          <w:rFonts w:asciiTheme="minorHAnsi" w:hAnsiTheme="minorHAnsi" w:cstheme="minorHAnsi"/>
          <w:iCs/>
        </w:rPr>
        <w:t>odredbama HSFI 9.</w:t>
      </w:r>
    </w:p>
    <w:p w14:paraId="5B7FA946" w14:textId="77777777" w:rsidR="00F72849" w:rsidRPr="00641723" w:rsidRDefault="00F72849" w:rsidP="00F72849">
      <w:pPr>
        <w:spacing w:after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Dugotrajnu financijsku imovinu čini nominalni iznos poslovnog udjela u društvu PONIKVE USLUGA d.o.o. i potraživanje od društva SMART ISLAND KRK d.o.o. za dugoročni dio kredita čija obveza je temeljem bilance podjele prenesena u SMART ISLAND KRK d.o.</w:t>
      </w:r>
      <w:r w:rsidRPr="00302190">
        <w:rPr>
          <w:rFonts w:cstheme="minorHAnsi"/>
          <w:iCs/>
          <w:sz w:val="24"/>
          <w:szCs w:val="24"/>
        </w:rPr>
        <w:t>o. (Bilješka 6).</w:t>
      </w:r>
    </w:p>
    <w:p w14:paraId="4B8DC58F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641723">
        <w:rPr>
          <w:rFonts w:cstheme="minorHAnsi"/>
          <w:b/>
          <w:bCs/>
          <w:iCs/>
          <w:sz w:val="24"/>
          <w:szCs w:val="24"/>
        </w:rPr>
        <w:t>1.2.6. ZALIHE</w:t>
      </w:r>
    </w:p>
    <w:p w14:paraId="18E0E4B4" w14:textId="3F50B4FF" w:rsidR="00F72849" w:rsidRPr="00085B4C" w:rsidRDefault="00F72849" w:rsidP="00F72849">
      <w:pPr>
        <w:spacing w:before="240" w:line="240" w:lineRule="auto"/>
        <w:ind w:right="92"/>
        <w:jc w:val="both"/>
        <w:rPr>
          <w:rFonts w:cstheme="minorHAnsi"/>
          <w:bCs/>
          <w:sz w:val="24"/>
          <w:szCs w:val="24"/>
        </w:rPr>
      </w:pPr>
      <w:r w:rsidRPr="00085B4C">
        <w:rPr>
          <w:rFonts w:cstheme="minorHAnsi"/>
          <w:bCs/>
          <w:sz w:val="24"/>
          <w:szCs w:val="24"/>
        </w:rPr>
        <w:t xml:space="preserve">Zalihe se iskazuju po vrijednosti troškova nabave koji obuhvaćaju kupovnu cijenu i sve izravno povezane troškove koji su nužni za dovođenje zaliha u određeno stanje i na određenu lokaciju, ili po neto prodajnoj vrijednosti, ovisno o tome koja je niža. </w:t>
      </w:r>
    </w:p>
    <w:p w14:paraId="06B29A7F" w14:textId="77777777" w:rsidR="00F72849" w:rsidRPr="00085B4C" w:rsidRDefault="00F72849" w:rsidP="00F72849">
      <w:pPr>
        <w:spacing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>Zalihe  materijala koji se koristi za tekuće, investicijsko održavanje i investicije u vlastitoj režiji, iskazuju se po stvarnim nabavnim cijenama materijala. Utrošak materijala obavlja se primjenom metode prosječne nabavne cijene.</w:t>
      </w:r>
    </w:p>
    <w:p w14:paraId="0CDDAA18" w14:textId="77777777" w:rsidR="00F72849" w:rsidRPr="00085B4C" w:rsidRDefault="00F72849" w:rsidP="00F72849">
      <w:pPr>
        <w:spacing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>Sitan inventar, alat i auto gume, otpisuju se u cijelosti kod stavljanja u uporabu.</w:t>
      </w:r>
    </w:p>
    <w:p w14:paraId="2ED317C9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mallCaps/>
          <w:sz w:val="24"/>
          <w:szCs w:val="24"/>
        </w:rPr>
      </w:pPr>
      <w:r w:rsidRPr="00085B4C">
        <w:rPr>
          <w:rFonts w:cstheme="minorHAnsi"/>
          <w:b/>
          <w:bCs/>
          <w:iCs/>
          <w:smallCaps/>
          <w:sz w:val="24"/>
          <w:szCs w:val="24"/>
        </w:rPr>
        <w:t>1.2.7. POTRAŽIVANJA OD KUPACA</w:t>
      </w:r>
    </w:p>
    <w:p w14:paraId="73445548" w14:textId="77777777" w:rsidR="00F72849" w:rsidRPr="00085B4C" w:rsidRDefault="00F72849" w:rsidP="00F72849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i/>
          <w:sz w:val="24"/>
          <w:szCs w:val="24"/>
        </w:rPr>
      </w:pPr>
      <w:r w:rsidRPr="00085B4C">
        <w:rPr>
          <w:rFonts w:cstheme="minorHAnsi"/>
          <w:sz w:val="24"/>
          <w:szCs w:val="24"/>
        </w:rPr>
        <w:t xml:space="preserve">Potraživanja se početno priznaju po fer vrijednosti. </w:t>
      </w:r>
    </w:p>
    <w:p w14:paraId="1F888E24" w14:textId="40A9ACB0" w:rsidR="00F72849" w:rsidRPr="00641723" w:rsidRDefault="00F72849" w:rsidP="00F72849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Potraživanja od </w:t>
      </w:r>
      <w:r w:rsidRPr="00B1079D">
        <w:rPr>
          <w:rFonts w:cstheme="minorHAnsi"/>
          <w:iCs/>
          <w:sz w:val="24"/>
          <w:szCs w:val="24"/>
        </w:rPr>
        <w:t xml:space="preserve">kupaca (Bilješka </w:t>
      </w:r>
      <w:r w:rsidR="00B1079D" w:rsidRPr="00B1079D">
        <w:rPr>
          <w:rFonts w:cstheme="minorHAnsi"/>
          <w:iCs/>
          <w:sz w:val="24"/>
          <w:szCs w:val="24"/>
        </w:rPr>
        <w:t>8</w:t>
      </w:r>
      <w:r w:rsidRPr="00B1079D">
        <w:rPr>
          <w:rFonts w:cstheme="minorHAnsi"/>
          <w:iCs/>
          <w:sz w:val="24"/>
          <w:szCs w:val="24"/>
        </w:rPr>
        <w:t xml:space="preserve">) obuhvaćaju </w:t>
      </w:r>
      <w:r w:rsidRPr="00641723">
        <w:rPr>
          <w:rFonts w:cstheme="minorHAnsi"/>
          <w:iCs/>
          <w:sz w:val="24"/>
          <w:szCs w:val="24"/>
        </w:rPr>
        <w:t>sva potraživanja za izvršene usluge (odvoz otpada, prikupljanje i zbrinjavanje ambalažnog otpada, prodaja sekundarnih sirovina, prodaja električne energije).</w:t>
      </w:r>
    </w:p>
    <w:p w14:paraId="54C1AC9B" w14:textId="77777777" w:rsidR="00F72849" w:rsidRDefault="00F72849" w:rsidP="00F72849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641723">
        <w:rPr>
          <w:rFonts w:cstheme="minorHAnsi"/>
          <w:iCs/>
          <w:sz w:val="24"/>
          <w:szCs w:val="24"/>
        </w:rPr>
        <w:t>Usklađenje vrijednosti potraživanja obavlja</w:t>
      </w:r>
      <w:r w:rsidRPr="00085B4C">
        <w:rPr>
          <w:rFonts w:cstheme="minorHAnsi"/>
          <w:iCs/>
          <w:sz w:val="24"/>
          <w:szCs w:val="24"/>
        </w:rPr>
        <w:t xml:space="preserve"> se temeljem saznanja da potraživanje nije u roku naplaćeno, odnosno da su nastale okolnosti neizvjesnosti naplate i da je utuženo, prijavljeno u stečajnu masu ili u predstečajnu nagodbu i u slučaju kada je nenaplativo. </w:t>
      </w:r>
    </w:p>
    <w:p w14:paraId="2507929F" w14:textId="77777777" w:rsidR="00F72849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1.2.8. POTRAŽIVANJA OD DRŽAVE I DRUGIH INSTITUCIJA</w:t>
      </w:r>
      <w:r w:rsidRPr="00085B4C">
        <w:rPr>
          <w:rFonts w:cstheme="minorHAnsi"/>
          <w:iCs/>
          <w:sz w:val="24"/>
          <w:szCs w:val="24"/>
        </w:rPr>
        <w:t xml:space="preserve"> </w:t>
      </w:r>
    </w:p>
    <w:p w14:paraId="2E90AF36" w14:textId="585952F5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odnose se na </w:t>
      </w:r>
      <w:r w:rsidR="003D0389" w:rsidRPr="00085B4C">
        <w:rPr>
          <w:rFonts w:cstheme="minorHAnsi"/>
          <w:iCs/>
          <w:sz w:val="24"/>
          <w:szCs w:val="24"/>
        </w:rPr>
        <w:t xml:space="preserve">potraživanja za refundacije bolovanja </w:t>
      </w:r>
      <w:r w:rsidR="003D0389">
        <w:rPr>
          <w:rFonts w:cstheme="minorHAnsi"/>
          <w:iCs/>
          <w:sz w:val="24"/>
          <w:szCs w:val="24"/>
        </w:rPr>
        <w:t xml:space="preserve">te eventualna </w:t>
      </w:r>
      <w:r w:rsidRPr="00085B4C">
        <w:rPr>
          <w:rFonts w:cstheme="minorHAnsi"/>
          <w:iCs/>
          <w:sz w:val="24"/>
          <w:szCs w:val="24"/>
        </w:rPr>
        <w:t>potraživanja za porez na dodanu vrijednost i potraživanja za preplaćeni porez na dobit.</w:t>
      </w:r>
    </w:p>
    <w:p w14:paraId="7F9E6F19" w14:textId="77777777" w:rsidR="00F72849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iCs/>
          <w:sz w:val="24"/>
          <w:szCs w:val="24"/>
        </w:rPr>
        <w:lastRenderedPageBreak/>
        <w:t>1.2.9.</w:t>
      </w:r>
      <w:r w:rsidRPr="00085B4C">
        <w:rPr>
          <w:rFonts w:cstheme="minorHAnsi"/>
          <w:b/>
          <w:iCs/>
          <w:sz w:val="24"/>
          <w:szCs w:val="24"/>
        </w:rPr>
        <w:tab/>
        <w:t>OSTALA POTRAŽIVANJA</w:t>
      </w:r>
      <w:r w:rsidRPr="00085B4C">
        <w:rPr>
          <w:rFonts w:cstheme="minorHAnsi"/>
          <w:iCs/>
          <w:sz w:val="24"/>
          <w:szCs w:val="24"/>
        </w:rPr>
        <w:t xml:space="preserve"> </w:t>
      </w:r>
    </w:p>
    <w:p w14:paraId="7C191308" w14:textId="34257512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odnose se na naplaćena potraživanja od korisnika čiji obračun i naplatu vodi drugo društvo, potraživanja za naknade šteta</w:t>
      </w:r>
      <w:r w:rsidR="001614DF">
        <w:rPr>
          <w:rFonts w:cstheme="minorHAnsi"/>
          <w:iCs/>
          <w:sz w:val="24"/>
          <w:szCs w:val="24"/>
        </w:rPr>
        <w:t>,</w:t>
      </w:r>
      <w:r w:rsidRPr="00085B4C">
        <w:rPr>
          <w:rFonts w:cstheme="minorHAnsi"/>
          <w:iCs/>
          <w:sz w:val="24"/>
          <w:szCs w:val="24"/>
        </w:rPr>
        <w:t xml:space="preserve"> potraživanja </w:t>
      </w:r>
      <w:r w:rsidR="001614DF">
        <w:rPr>
          <w:rFonts w:cstheme="minorHAnsi"/>
          <w:iCs/>
          <w:sz w:val="24"/>
          <w:szCs w:val="24"/>
        </w:rPr>
        <w:t xml:space="preserve">iz </w:t>
      </w:r>
      <w:r w:rsidR="003D0389">
        <w:rPr>
          <w:rFonts w:cstheme="minorHAnsi"/>
          <w:iCs/>
          <w:sz w:val="24"/>
          <w:szCs w:val="24"/>
        </w:rPr>
        <w:t>EU projekata</w:t>
      </w:r>
      <w:r w:rsidR="001614DF">
        <w:rPr>
          <w:rFonts w:cstheme="minorHAnsi"/>
          <w:iCs/>
          <w:sz w:val="24"/>
          <w:szCs w:val="24"/>
        </w:rPr>
        <w:t xml:space="preserve"> te potraživanja za dane predujmove</w:t>
      </w:r>
      <w:r w:rsidRPr="00085B4C">
        <w:rPr>
          <w:rFonts w:cstheme="minorHAnsi"/>
          <w:iCs/>
          <w:sz w:val="24"/>
          <w:szCs w:val="24"/>
        </w:rPr>
        <w:t>.</w:t>
      </w:r>
    </w:p>
    <w:p w14:paraId="68FC0AF9" w14:textId="77777777" w:rsidR="00F72849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1.2.10.</w:t>
      </w:r>
      <w:r w:rsidRPr="00085B4C">
        <w:rPr>
          <w:rFonts w:cstheme="minorHAnsi"/>
          <w:iCs/>
          <w:sz w:val="24"/>
          <w:szCs w:val="24"/>
        </w:rPr>
        <w:tab/>
      </w:r>
      <w:r w:rsidRPr="00085B4C">
        <w:rPr>
          <w:rFonts w:cstheme="minorHAnsi"/>
          <w:b/>
          <w:bCs/>
          <w:iCs/>
          <w:sz w:val="24"/>
          <w:szCs w:val="24"/>
        </w:rPr>
        <w:t>KRATKOTRAJNA FINANCIJSKA IMOVINA</w:t>
      </w:r>
      <w:r w:rsidRPr="00085B4C">
        <w:rPr>
          <w:rFonts w:cstheme="minorHAnsi"/>
          <w:iCs/>
          <w:sz w:val="24"/>
          <w:szCs w:val="24"/>
        </w:rPr>
        <w:t xml:space="preserve"> </w:t>
      </w:r>
    </w:p>
    <w:p w14:paraId="283DD00B" w14:textId="736BD1EF" w:rsidR="00F72849" w:rsidRPr="00B1079D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odnosi se na dana jamstva</w:t>
      </w:r>
      <w:r w:rsidR="001614DF">
        <w:rPr>
          <w:rFonts w:cstheme="minorHAnsi"/>
          <w:iCs/>
          <w:sz w:val="24"/>
          <w:szCs w:val="24"/>
        </w:rPr>
        <w:t xml:space="preserve"> i </w:t>
      </w:r>
      <w:r w:rsidR="001614DF" w:rsidRPr="001614DF">
        <w:rPr>
          <w:rFonts w:cstheme="minorHAnsi"/>
          <w:iCs/>
          <w:sz w:val="24"/>
          <w:szCs w:val="24"/>
        </w:rPr>
        <w:t xml:space="preserve">potraživanje od društva SMART ISLAND KRK d.o.o. za </w:t>
      </w:r>
      <w:r w:rsidR="001614DF">
        <w:rPr>
          <w:rFonts w:cstheme="minorHAnsi"/>
          <w:iCs/>
          <w:sz w:val="24"/>
          <w:szCs w:val="24"/>
        </w:rPr>
        <w:t>kratko</w:t>
      </w:r>
      <w:r w:rsidR="001614DF" w:rsidRPr="001614DF">
        <w:rPr>
          <w:rFonts w:cstheme="minorHAnsi"/>
          <w:iCs/>
          <w:sz w:val="24"/>
          <w:szCs w:val="24"/>
        </w:rPr>
        <w:t xml:space="preserve">ročni dio kredita čija obveza je temeljem bilance podjele prenesena u SMART ISLAND KRK d.o.o. </w:t>
      </w:r>
      <w:r w:rsidR="001614DF" w:rsidRPr="00B1079D">
        <w:rPr>
          <w:rFonts w:cstheme="minorHAnsi"/>
          <w:iCs/>
          <w:sz w:val="24"/>
          <w:szCs w:val="24"/>
        </w:rPr>
        <w:t>(Bilješka 6).</w:t>
      </w:r>
    </w:p>
    <w:p w14:paraId="66630AD0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1.2.11. NOVAC U BANCI I BLAGAJNI</w:t>
      </w:r>
    </w:p>
    <w:p w14:paraId="00A2BF15" w14:textId="7896C3C5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Imovina u obliku novca iskazuje se u nominalnoj vrijednosti izraženoj </w:t>
      </w:r>
      <w:r w:rsidR="001614DF">
        <w:rPr>
          <w:rFonts w:cstheme="minorHAnsi"/>
          <w:iCs/>
          <w:sz w:val="24"/>
          <w:szCs w:val="24"/>
        </w:rPr>
        <w:t xml:space="preserve">u eurima </w:t>
      </w:r>
      <w:r w:rsidRPr="00085B4C">
        <w:rPr>
          <w:rFonts w:cstheme="minorHAnsi"/>
          <w:iCs/>
          <w:sz w:val="24"/>
          <w:szCs w:val="24"/>
        </w:rPr>
        <w:t>(</w:t>
      </w:r>
      <w:r w:rsidR="001614DF">
        <w:rPr>
          <w:rFonts w:cstheme="minorHAnsi"/>
          <w:iCs/>
          <w:sz w:val="24"/>
          <w:szCs w:val="24"/>
        </w:rPr>
        <w:t>eur</w:t>
      </w:r>
      <w:r w:rsidRPr="00085B4C">
        <w:rPr>
          <w:rFonts w:cstheme="minorHAnsi"/>
          <w:iCs/>
          <w:sz w:val="24"/>
          <w:szCs w:val="24"/>
        </w:rPr>
        <w:t>), a predstavljaju sredstva na račun</w:t>
      </w:r>
      <w:r w:rsidR="001614DF">
        <w:rPr>
          <w:rFonts w:cstheme="minorHAnsi"/>
          <w:iCs/>
          <w:sz w:val="24"/>
          <w:szCs w:val="24"/>
        </w:rPr>
        <w:t>u koje društvo ima u Erste&amp;Steiermarkische bank d.d..</w:t>
      </w:r>
      <w:r w:rsidRPr="00085B4C">
        <w:rPr>
          <w:rFonts w:cstheme="minorHAnsi"/>
          <w:iCs/>
          <w:sz w:val="24"/>
          <w:szCs w:val="24"/>
        </w:rPr>
        <w:t xml:space="preserve"> (</w:t>
      </w:r>
      <w:r w:rsidRPr="00B1079D">
        <w:rPr>
          <w:rFonts w:cstheme="minorHAnsi"/>
          <w:iCs/>
          <w:sz w:val="24"/>
          <w:szCs w:val="24"/>
        </w:rPr>
        <w:t xml:space="preserve">Bilješka </w:t>
      </w:r>
      <w:r w:rsidR="00B1079D" w:rsidRPr="00B1079D">
        <w:rPr>
          <w:rFonts w:cstheme="minorHAnsi"/>
          <w:iCs/>
          <w:sz w:val="24"/>
          <w:szCs w:val="24"/>
        </w:rPr>
        <w:t>9</w:t>
      </w:r>
      <w:r w:rsidRPr="00B1079D">
        <w:rPr>
          <w:rFonts w:cstheme="minorHAnsi"/>
          <w:iCs/>
          <w:sz w:val="24"/>
          <w:szCs w:val="24"/>
        </w:rPr>
        <w:t>).</w:t>
      </w:r>
    </w:p>
    <w:p w14:paraId="7E894338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1.2.12.</w:t>
      </w:r>
      <w:r w:rsidRPr="00085B4C">
        <w:rPr>
          <w:rFonts w:cstheme="minorHAnsi"/>
          <w:b/>
          <w:bCs/>
          <w:iCs/>
          <w:sz w:val="24"/>
          <w:szCs w:val="24"/>
        </w:rPr>
        <w:tab/>
        <w:t>PLAĆENI TROŠKOVI BUDUĆEG RAZDOBLJA I OBRAČUNATI PRIHODI</w:t>
      </w:r>
    </w:p>
    <w:p w14:paraId="72E4BD31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sz w:val="24"/>
          <w:szCs w:val="24"/>
        </w:rPr>
        <w:t>Aktivna vremenska razgraničenja predstavljaju unaprijed plaćene troškove, a priznaju se kao imovina kada se odnose na iznose plaćene u tekućem razdoblju, a koji se odnose na buduće razdoblje sukladno Hrvatskim standardima financijskog izvještavanja.</w:t>
      </w:r>
    </w:p>
    <w:p w14:paraId="4C3B044D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1.2.13. KAPITAL I REZERVE</w:t>
      </w:r>
    </w:p>
    <w:p w14:paraId="0F20CF6C" w14:textId="30F67E97" w:rsidR="00F72849" w:rsidRPr="00085B4C" w:rsidRDefault="00F72849" w:rsidP="00F72849">
      <w:pPr>
        <w:tabs>
          <w:tab w:val="left" w:pos="-180"/>
        </w:tabs>
        <w:spacing w:before="240" w:line="240" w:lineRule="auto"/>
        <w:ind w:right="-6"/>
        <w:jc w:val="both"/>
        <w:rPr>
          <w:rFonts w:cstheme="minorHAnsi"/>
          <w:bCs/>
          <w:sz w:val="24"/>
          <w:szCs w:val="24"/>
        </w:rPr>
      </w:pPr>
      <w:r w:rsidRPr="00085B4C">
        <w:rPr>
          <w:rFonts w:cstheme="minorHAnsi"/>
          <w:bCs/>
          <w:sz w:val="24"/>
          <w:szCs w:val="24"/>
        </w:rPr>
        <w:t xml:space="preserve">Kapital je vlastiti izvor financiranja imovine i izračunava se kao ostatak imovine nakon odbitka svih obveza. Upisani kapital iskazan je u </w:t>
      </w:r>
      <w:r w:rsidR="00A03B85">
        <w:rPr>
          <w:rFonts w:cstheme="minorHAnsi"/>
          <w:bCs/>
          <w:sz w:val="24"/>
          <w:szCs w:val="24"/>
        </w:rPr>
        <w:t>eurim</w:t>
      </w:r>
      <w:r w:rsidRPr="00085B4C">
        <w:rPr>
          <w:rFonts w:cstheme="minorHAnsi"/>
          <w:bCs/>
          <w:sz w:val="24"/>
          <w:szCs w:val="24"/>
        </w:rPr>
        <w:t xml:space="preserve">a po nominalnoj vrijednosti. </w:t>
      </w:r>
    </w:p>
    <w:p w14:paraId="78C226B7" w14:textId="3E2D1C84" w:rsidR="00F72849" w:rsidRPr="00B1079D" w:rsidRDefault="00F72849" w:rsidP="00F72849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B1079D">
        <w:rPr>
          <w:rFonts w:cstheme="minorHAnsi"/>
          <w:iCs/>
          <w:sz w:val="24"/>
          <w:szCs w:val="24"/>
        </w:rPr>
        <w:t xml:space="preserve">Ukupan kapital Društva čine upisani kapital, kapitalne rezerve, zadržana dobit i dobit tekuće godine (Bilješka </w:t>
      </w:r>
      <w:r w:rsidR="00B1079D" w:rsidRPr="00B1079D">
        <w:rPr>
          <w:rFonts w:cstheme="minorHAnsi"/>
          <w:iCs/>
          <w:sz w:val="24"/>
          <w:szCs w:val="24"/>
        </w:rPr>
        <w:t>10</w:t>
      </w:r>
      <w:r w:rsidRPr="00B1079D">
        <w:rPr>
          <w:rFonts w:cstheme="minorHAnsi"/>
          <w:iCs/>
          <w:sz w:val="24"/>
          <w:szCs w:val="24"/>
        </w:rPr>
        <w:t>).</w:t>
      </w:r>
    </w:p>
    <w:p w14:paraId="4B543B6F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1.2.14. DUGOROČNE OBVEZE</w:t>
      </w:r>
    </w:p>
    <w:p w14:paraId="7978DC06" w14:textId="77777777" w:rsidR="00F72849" w:rsidRPr="00085B4C" w:rsidRDefault="00F72849" w:rsidP="00F72849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Dugoročne obveze iskazuju se u poslovnim knjigama u vrijednosti nastale poslovne promjene dokazane urednom ispravom ili ugovorom o stvaranju obveza, a rok dospijeća im je duži od 12 mjeseci.</w:t>
      </w:r>
    </w:p>
    <w:p w14:paraId="2C9DD60E" w14:textId="4B3F6468" w:rsidR="00F72849" w:rsidRPr="00085B4C" w:rsidRDefault="00F72849" w:rsidP="00F72849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Dugoročne obveze predstavljaju obveze po osnovi kredita i financijskih leasinga koji dospijevaju na naplatu nakon 31. prosinca 202</w:t>
      </w:r>
      <w:r w:rsidR="002C2EB5">
        <w:rPr>
          <w:rFonts w:cstheme="minorHAnsi"/>
          <w:iCs/>
          <w:sz w:val="24"/>
          <w:szCs w:val="24"/>
        </w:rPr>
        <w:t>3</w:t>
      </w:r>
      <w:r w:rsidRPr="00085B4C">
        <w:rPr>
          <w:rFonts w:cstheme="minorHAnsi"/>
          <w:iCs/>
          <w:sz w:val="24"/>
          <w:szCs w:val="24"/>
        </w:rPr>
        <w:t xml:space="preserve">. </w:t>
      </w:r>
      <w:r w:rsidRPr="00B1079D">
        <w:rPr>
          <w:rFonts w:cstheme="minorHAnsi"/>
          <w:iCs/>
          <w:sz w:val="24"/>
          <w:szCs w:val="24"/>
        </w:rPr>
        <w:t xml:space="preserve">godine (Bilješka </w:t>
      </w:r>
      <w:r w:rsidR="00B1079D" w:rsidRPr="00B1079D">
        <w:rPr>
          <w:rFonts w:cstheme="minorHAnsi"/>
          <w:iCs/>
          <w:sz w:val="24"/>
          <w:szCs w:val="24"/>
        </w:rPr>
        <w:t>11</w:t>
      </w:r>
      <w:r w:rsidRPr="00B1079D">
        <w:rPr>
          <w:rFonts w:cstheme="minorHAnsi"/>
          <w:iCs/>
          <w:sz w:val="24"/>
          <w:szCs w:val="24"/>
        </w:rPr>
        <w:t>).</w:t>
      </w:r>
    </w:p>
    <w:p w14:paraId="3E29A4F0" w14:textId="1AA43A45" w:rsidR="00F72849" w:rsidRPr="00325FF6" w:rsidRDefault="00F72849" w:rsidP="00F72849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Tekuće dospijeće po navedenim obvezama koje dospijevaju na naplatu u 202</w:t>
      </w:r>
      <w:r w:rsidR="002C2EB5">
        <w:rPr>
          <w:rFonts w:cstheme="minorHAnsi"/>
          <w:iCs/>
          <w:sz w:val="24"/>
          <w:szCs w:val="24"/>
        </w:rPr>
        <w:t>3</w:t>
      </w:r>
      <w:r w:rsidRPr="00085B4C">
        <w:rPr>
          <w:rFonts w:cstheme="minorHAnsi"/>
          <w:iCs/>
          <w:sz w:val="24"/>
          <w:szCs w:val="24"/>
        </w:rPr>
        <w:t xml:space="preserve">. godini </w:t>
      </w:r>
      <w:r w:rsidRPr="00325FF6">
        <w:rPr>
          <w:rFonts w:cstheme="minorHAnsi"/>
          <w:iCs/>
          <w:sz w:val="24"/>
          <w:szCs w:val="24"/>
        </w:rPr>
        <w:t>iskazano je kao kratkoročna obveza.</w:t>
      </w:r>
    </w:p>
    <w:p w14:paraId="5EA95A76" w14:textId="50509487" w:rsidR="00F72849" w:rsidRDefault="00F72849" w:rsidP="00F72849">
      <w:pPr>
        <w:spacing w:line="240" w:lineRule="auto"/>
        <w:jc w:val="both"/>
        <w:rPr>
          <w:rFonts w:cstheme="minorHAnsi"/>
          <w:sz w:val="24"/>
          <w:szCs w:val="24"/>
        </w:rPr>
      </w:pPr>
      <w:r w:rsidRPr="00325FF6">
        <w:rPr>
          <w:rFonts w:cstheme="minorHAnsi"/>
          <w:sz w:val="24"/>
          <w:szCs w:val="24"/>
        </w:rPr>
        <w:t>Društvo nema kredita i financijskih leasinga u stranim valutama niti su isti uz valutnu klauzulu te nema potrebe svođenja na srednji tečaj Hrvatske narodne banke na dan 31. prosinca 202</w:t>
      </w:r>
      <w:r w:rsidR="00325FF6" w:rsidRPr="00325FF6">
        <w:rPr>
          <w:rFonts w:cstheme="minorHAnsi"/>
          <w:sz w:val="24"/>
          <w:szCs w:val="24"/>
        </w:rPr>
        <w:t>3</w:t>
      </w:r>
      <w:r w:rsidRPr="00325FF6">
        <w:rPr>
          <w:rFonts w:cstheme="minorHAnsi"/>
          <w:sz w:val="24"/>
          <w:szCs w:val="24"/>
        </w:rPr>
        <w:t>. godine.</w:t>
      </w:r>
    </w:p>
    <w:p w14:paraId="298CA7F2" w14:textId="77777777" w:rsidR="00B1079D" w:rsidRDefault="00B1079D" w:rsidP="00F72849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37163A9" w14:textId="77777777" w:rsidR="00B1079D" w:rsidRPr="00325FF6" w:rsidRDefault="00B1079D" w:rsidP="00F72849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2004174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lastRenderedPageBreak/>
        <w:t>1.2.15. KRATKOROČNE OBVEZE</w:t>
      </w:r>
    </w:p>
    <w:p w14:paraId="7EDBB7C8" w14:textId="389D9088" w:rsidR="00F72849" w:rsidRPr="00B1079D" w:rsidRDefault="00F72849" w:rsidP="00F72849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Kratkoročne obveze iskazuju se u poslovnim knjigama u vrijednosti nastale poslovne promjene dokazane urednom ispravom ili ugovorom o stvaranju obveza, a rok dospijeća im je kraći od 12 mjeseci. U kratkoročnim obvezama iskazane su obveze prema bankama i drugim financijskim institucijama, obveze prema primljenim jamstvima za ozbiljnost ponude</w:t>
      </w:r>
      <w:r w:rsidR="00A03B85">
        <w:rPr>
          <w:rFonts w:cstheme="minorHAnsi"/>
          <w:iCs/>
          <w:sz w:val="24"/>
          <w:szCs w:val="24"/>
        </w:rPr>
        <w:t xml:space="preserve"> i za jamstveni rok</w:t>
      </w:r>
      <w:r w:rsidRPr="00085B4C">
        <w:rPr>
          <w:rFonts w:cstheme="minorHAnsi"/>
          <w:iCs/>
          <w:sz w:val="24"/>
          <w:szCs w:val="24"/>
        </w:rPr>
        <w:t xml:space="preserve">, obveze prema dobavljačima, obveze prema zaposlenicima, obveze za poreze, doprinose i slična davanja te ostale kratkoročne </w:t>
      </w:r>
      <w:r w:rsidRPr="00B1079D">
        <w:rPr>
          <w:rFonts w:cstheme="minorHAnsi"/>
          <w:iCs/>
          <w:sz w:val="24"/>
          <w:szCs w:val="24"/>
        </w:rPr>
        <w:t>obveze (Bilješka 1</w:t>
      </w:r>
      <w:r w:rsidR="00B1079D" w:rsidRPr="00B1079D">
        <w:rPr>
          <w:rFonts w:cstheme="minorHAnsi"/>
          <w:iCs/>
          <w:sz w:val="24"/>
          <w:szCs w:val="24"/>
        </w:rPr>
        <w:t>2</w:t>
      </w:r>
      <w:r w:rsidRPr="00B1079D">
        <w:rPr>
          <w:rFonts w:cstheme="minorHAnsi"/>
          <w:iCs/>
          <w:sz w:val="24"/>
          <w:szCs w:val="24"/>
        </w:rPr>
        <w:t>).</w:t>
      </w:r>
    </w:p>
    <w:p w14:paraId="4E268025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1.2.16. PRIHOD BUDUĆEG RAZDOBLJA</w:t>
      </w:r>
    </w:p>
    <w:p w14:paraId="360EFB76" w14:textId="59FD4C85" w:rsidR="00F72849" w:rsidRPr="00085B4C" w:rsidRDefault="00F72849" w:rsidP="00F72849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Odgođeni prihodi odnose se na dobivena namjenska sredstva za investicije od Fonda za zaštitu okoliša i energetsku učinkovitost (Fond)</w:t>
      </w:r>
      <w:r w:rsidR="00C32BCF">
        <w:rPr>
          <w:rFonts w:cstheme="minorHAnsi"/>
          <w:iCs/>
          <w:sz w:val="24"/>
          <w:szCs w:val="24"/>
        </w:rPr>
        <w:t xml:space="preserve">, EU fondova </w:t>
      </w:r>
      <w:r w:rsidRPr="00085B4C">
        <w:rPr>
          <w:rFonts w:cstheme="minorHAnsi"/>
          <w:iCs/>
          <w:sz w:val="24"/>
          <w:szCs w:val="24"/>
        </w:rPr>
        <w:t>i jedinica lokalne samouprave.</w:t>
      </w:r>
    </w:p>
    <w:p w14:paraId="77D1A68B" w14:textId="1B022C4C" w:rsidR="00F72849" w:rsidRPr="00085B4C" w:rsidRDefault="00F72849" w:rsidP="00F72849">
      <w:pPr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Prijenos na prihode obavlja se u visini amortizacije za dugotrajnu imovinu nabavljenu iz tih </w:t>
      </w:r>
      <w:r w:rsidRPr="00B1079D">
        <w:rPr>
          <w:rFonts w:cstheme="minorHAnsi"/>
          <w:iCs/>
          <w:sz w:val="24"/>
          <w:szCs w:val="24"/>
        </w:rPr>
        <w:t>sredstava (Bilješka 1</w:t>
      </w:r>
      <w:r w:rsidR="00B1079D" w:rsidRPr="00B1079D">
        <w:rPr>
          <w:rFonts w:cstheme="minorHAnsi"/>
          <w:iCs/>
          <w:sz w:val="24"/>
          <w:szCs w:val="24"/>
        </w:rPr>
        <w:t>3</w:t>
      </w:r>
      <w:r w:rsidRPr="00085B4C">
        <w:rPr>
          <w:rFonts w:cstheme="minorHAnsi"/>
          <w:iCs/>
          <w:sz w:val="24"/>
          <w:szCs w:val="24"/>
        </w:rPr>
        <w:t>).</w:t>
      </w:r>
    </w:p>
    <w:p w14:paraId="40EF2A0B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1.2.17. IZVANBILANČNI ZAPISI   </w:t>
      </w:r>
    </w:p>
    <w:p w14:paraId="322CB21A" w14:textId="4B009DB9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 xml:space="preserve">Društvo u okviru izvanbilančnih zapisa iskazuje primljene bankarske garancije i zadužnice za </w:t>
      </w:r>
      <w:r w:rsidRPr="002044E0">
        <w:rPr>
          <w:rFonts w:cstheme="minorHAnsi"/>
          <w:iCs/>
          <w:sz w:val="24"/>
          <w:szCs w:val="24"/>
        </w:rPr>
        <w:t xml:space="preserve">uredno ispunjenje ugovornih obveza od strane izvođača, garancije za jamstvene rokove te </w:t>
      </w:r>
      <w:r w:rsidR="00C8492A">
        <w:rPr>
          <w:rFonts w:cstheme="minorHAnsi"/>
          <w:iCs/>
          <w:sz w:val="24"/>
          <w:szCs w:val="24"/>
        </w:rPr>
        <w:t xml:space="preserve">garancije dane Republici Hrvatskoj za osiguranje pokrića troškova zatvaranja odlagališta otpada, održavanja i nadzora odlagališta otpada nakon njegovog zatvaranja kao i za eventualno uklanjanje otpada i </w:t>
      </w:r>
      <w:r w:rsidRPr="002044E0">
        <w:rPr>
          <w:rFonts w:cstheme="minorHAnsi"/>
          <w:iCs/>
          <w:sz w:val="24"/>
          <w:szCs w:val="24"/>
        </w:rPr>
        <w:t xml:space="preserve">zadužnice dane kao osiguranje za podmirenje obveza po kreditu, financijskom leasingu i </w:t>
      </w:r>
      <w:r w:rsidRPr="00B1079D">
        <w:rPr>
          <w:rFonts w:cstheme="minorHAnsi"/>
          <w:iCs/>
          <w:sz w:val="24"/>
          <w:szCs w:val="24"/>
        </w:rPr>
        <w:t>dobavljačima (Bilješka 1</w:t>
      </w:r>
      <w:r w:rsidR="00B1079D" w:rsidRPr="00B1079D">
        <w:rPr>
          <w:rFonts w:cstheme="minorHAnsi"/>
          <w:iCs/>
          <w:sz w:val="24"/>
          <w:szCs w:val="24"/>
        </w:rPr>
        <w:t>4</w:t>
      </w:r>
      <w:r w:rsidRPr="00B1079D">
        <w:rPr>
          <w:rFonts w:cstheme="minorHAnsi"/>
          <w:iCs/>
          <w:sz w:val="24"/>
          <w:szCs w:val="24"/>
        </w:rPr>
        <w:t>).</w:t>
      </w:r>
    </w:p>
    <w:p w14:paraId="42419FF1" w14:textId="75A0155C" w:rsidR="00C8492A" w:rsidRDefault="00C8492A" w:rsidP="00F72849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5F446A46" w14:textId="77777777" w:rsidR="00F72849" w:rsidRPr="00085B4C" w:rsidRDefault="00F72849" w:rsidP="00F72849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5EADDCCA" w14:textId="77777777" w:rsidR="00F72849" w:rsidRDefault="00F72849" w:rsidP="00F72849">
      <w:pPr>
        <w:pStyle w:val="ListParagraph"/>
        <w:numPr>
          <w:ilvl w:val="0"/>
          <w:numId w:val="19"/>
        </w:num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PRIHODI</w:t>
      </w:r>
    </w:p>
    <w:p w14:paraId="4EFC17A9" w14:textId="77777777" w:rsidR="00F72849" w:rsidRPr="00085B4C" w:rsidRDefault="00F72849" w:rsidP="00F72849">
      <w:pPr>
        <w:pStyle w:val="ListParagraph"/>
        <w:spacing w:after="0" w:line="240" w:lineRule="auto"/>
        <w:ind w:left="504"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382485E9" w14:textId="77777777" w:rsidR="00F72849" w:rsidRPr="00085B4C" w:rsidRDefault="00F72849" w:rsidP="00F72849">
      <w:pPr>
        <w:pStyle w:val="ListParagraph"/>
        <w:numPr>
          <w:ilvl w:val="1"/>
          <w:numId w:val="20"/>
        </w:num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  POSLOVNI PRIHODI </w:t>
      </w:r>
    </w:p>
    <w:p w14:paraId="6C321B7A" w14:textId="77777777" w:rsidR="00F72849" w:rsidRPr="00085B4C" w:rsidRDefault="00F72849" w:rsidP="00F72849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bookmarkStart w:id="11" w:name="_Hlk72316459"/>
      <w:r w:rsidRPr="00085B4C">
        <w:rPr>
          <w:rFonts w:cstheme="minorHAnsi"/>
          <w:bCs/>
          <w:iCs/>
          <w:sz w:val="24"/>
          <w:szCs w:val="24"/>
        </w:rPr>
        <w:t>Poslovni prihodi obuhvaćaju:</w:t>
      </w:r>
    </w:p>
    <w:bookmarkStart w:id="12" w:name="_Hlk72317561"/>
    <w:bookmarkStart w:id="13" w:name="_MON_1680935949"/>
    <w:bookmarkEnd w:id="13"/>
    <w:p w14:paraId="5954FD5F" w14:textId="18DA27C4" w:rsidR="00F72849" w:rsidRPr="00085B4C" w:rsidRDefault="00AF2E6C" w:rsidP="00325FF6">
      <w:pPr>
        <w:tabs>
          <w:tab w:val="left" w:pos="5245"/>
        </w:tabs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object w:dxaOrig="14616" w:dyaOrig="5273" w14:anchorId="6AE88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3pt;height:252.7pt" o:ole="">
            <v:imagedata r:id="rId8" o:title=""/>
          </v:shape>
          <o:OLEObject Type="Embed" ProgID="Excel.Sheet.12" ShapeID="_x0000_i1025" DrawAspect="Content" ObjectID="_1778063306" r:id="rId9"/>
        </w:object>
      </w:r>
      <w:bookmarkEnd w:id="11"/>
      <w:bookmarkEnd w:id="12"/>
    </w:p>
    <w:p w14:paraId="2C890EA3" w14:textId="77777777" w:rsidR="00F72849" w:rsidRDefault="00F72849" w:rsidP="00F72849">
      <w:pPr>
        <w:tabs>
          <w:tab w:val="left" w:pos="1134"/>
        </w:tabs>
        <w:spacing w:after="0" w:line="240" w:lineRule="auto"/>
        <w:ind w:left="720" w:right="92"/>
        <w:jc w:val="both"/>
        <w:rPr>
          <w:rFonts w:cstheme="minorHAnsi"/>
          <w:bCs/>
          <w:iCs/>
          <w:sz w:val="24"/>
          <w:szCs w:val="24"/>
        </w:rPr>
      </w:pPr>
      <w:bookmarkStart w:id="14" w:name="_MON_1647240905"/>
      <w:bookmarkStart w:id="15" w:name="_Hlk70928020"/>
      <w:bookmarkEnd w:id="14"/>
    </w:p>
    <w:p w14:paraId="210356FD" w14:textId="77777777" w:rsidR="00F72849" w:rsidRPr="00085B4C" w:rsidRDefault="00F72849" w:rsidP="00F72849">
      <w:pPr>
        <w:numPr>
          <w:ilvl w:val="0"/>
          <w:numId w:val="10"/>
        </w:numPr>
        <w:tabs>
          <w:tab w:val="left" w:pos="1134"/>
        </w:tabs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Prihodi od prodaje</w:t>
      </w:r>
    </w:p>
    <w:bookmarkEnd w:id="15"/>
    <w:p w14:paraId="182CDE3C" w14:textId="695D8818" w:rsidR="00F72849" w:rsidRPr="00FB699B" w:rsidRDefault="00F72849" w:rsidP="00F72849">
      <w:pPr>
        <w:tabs>
          <w:tab w:val="left" w:pos="1134"/>
        </w:tabs>
        <w:spacing w:before="24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FB699B">
        <w:rPr>
          <w:rFonts w:cstheme="minorHAnsi"/>
          <w:bCs/>
          <w:iCs/>
          <w:sz w:val="24"/>
          <w:szCs w:val="24"/>
        </w:rPr>
        <w:t>Prihodi od prodaje u 202</w:t>
      </w:r>
      <w:r w:rsidR="009279A4" w:rsidRPr="00FB699B">
        <w:rPr>
          <w:rFonts w:cstheme="minorHAnsi"/>
          <w:bCs/>
          <w:iCs/>
          <w:sz w:val="24"/>
          <w:szCs w:val="24"/>
        </w:rPr>
        <w:t>3</w:t>
      </w:r>
      <w:r w:rsidRPr="00FB699B">
        <w:rPr>
          <w:rFonts w:cstheme="minorHAnsi"/>
          <w:bCs/>
          <w:iCs/>
          <w:sz w:val="24"/>
          <w:szCs w:val="24"/>
        </w:rPr>
        <w:t xml:space="preserve">. godini iznose </w:t>
      </w:r>
      <w:r w:rsidR="009279A4" w:rsidRPr="00FB699B">
        <w:rPr>
          <w:rFonts w:cstheme="minorHAnsi"/>
          <w:bCs/>
          <w:iCs/>
          <w:sz w:val="24"/>
          <w:szCs w:val="24"/>
        </w:rPr>
        <w:t>6.</w:t>
      </w:r>
      <w:r w:rsidR="00D1231A">
        <w:rPr>
          <w:rFonts w:cstheme="minorHAnsi"/>
          <w:bCs/>
          <w:iCs/>
          <w:sz w:val="24"/>
          <w:szCs w:val="24"/>
        </w:rPr>
        <w:t>361.857,37</w:t>
      </w:r>
      <w:r w:rsidR="009279A4" w:rsidRPr="00FB699B">
        <w:rPr>
          <w:rFonts w:cstheme="minorHAnsi"/>
          <w:bCs/>
          <w:iCs/>
          <w:sz w:val="24"/>
          <w:szCs w:val="24"/>
        </w:rPr>
        <w:t xml:space="preserve"> eur</w:t>
      </w:r>
      <w:r w:rsidRPr="00FB699B">
        <w:rPr>
          <w:rFonts w:cstheme="minorHAnsi"/>
          <w:bCs/>
          <w:iCs/>
          <w:sz w:val="24"/>
          <w:szCs w:val="24"/>
        </w:rPr>
        <w:t xml:space="preserve"> (202</w:t>
      </w:r>
      <w:r w:rsidR="009279A4" w:rsidRPr="00FB699B">
        <w:rPr>
          <w:rFonts w:cstheme="minorHAnsi"/>
          <w:bCs/>
          <w:iCs/>
          <w:sz w:val="24"/>
          <w:szCs w:val="24"/>
        </w:rPr>
        <w:t>2</w:t>
      </w:r>
      <w:r w:rsidRPr="00FB699B">
        <w:rPr>
          <w:rFonts w:cstheme="minorHAnsi"/>
          <w:bCs/>
          <w:iCs/>
          <w:sz w:val="24"/>
          <w:szCs w:val="24"/>
        </w:rPr>
        <w:t xml:space="preserve">.: </w:t>
      </w:r>
      <w:r w:rsidR="009279A4" w:rsidRPr="00FB699B">
        <w:rPr>
          <w:rFonts w:cstheme="minorHAnsi"/>
          <w:bCs/>
          <w:iCs/>
          <w:sz w:val="24"/>
          <w:szCs w:val="24"/>
        </w:rPr>
        <w:t>5.680.143,94 eur</w:t>
      </w:r>
      <w:r w:rsidRPr="00FB699B">
        <w:rPr>
          <w:rFonts w:cstheme="minorHAnsi"/>
          <w:bCs/>
          <w:iCs/>
          <w:sz w:val="24"/>
          <w:szCs w:val="24"/>
        </w:rPr>
        <w:t xml:space="preserve">) i veći su u odnosu na prethodnu godinu za </w:t>
      </w:r>
      <w:r w:rsidR="008E354D" w:rsidRPr="00FB699B">
        <w:rPr>
          <w:rFonts w:cstheme="minorHAnsi"/>
          <w:bCs/>
          <w:iCs/>
          <w:sz w:val="24"/>
          <w:szCs w:val="24"/>
        </w:rPr>
        <w:t xml:space="preserve">12% odnosno </w:t>
      </w:r>
      <w:r w:rsidR="001729F9" w:rsidRPr="00FB699B">
        <w:rPr>
          <w:rFonts w:cstheme="minorHAnsi"/>
          <w:bCs/>
          <w:iCs/>
          <w:sz w:val="24"/>
          <w:szCs w:val="24"/>
        </w:rPr>
        <w:t xml:space="preserve">za </w:t>
      </w:r>
      <w:r w:rsidR="00D1231A">
        <w:rPr>
          <w:rFonts w:cstheme="minorHAnsi"/>
          <w:bCs/>
          <w:iCs/>
          <w:sz w:val="24"/>
          <w:szCs w:val="24"/>
        </w:rPr>
        <w:t>681.713,43</w:t>
      </w:r>
      <w:r w:rsidR="009279A4" w:rsidRPr="00FB699B">
        <w:rPr>
          <w:rFonts w:cstheme="minorHAnsi"/>
          <w:bCs/>
          <w:iCs/>
          <w:sz w:val="24"/>
          <w:szCs w:val="24"/>
        </w:rPr>
        <w:t xml:space="preserve"> eur</w:t>
      </w:r>
      <w:r w:rsidRPr="00FB699B">
        <w:rPr>
          <w:rFonts w:cstheme="minorHAnsi"/>
          <w:bCs/>
          <w:iCs/>
          <w:sz w:val="24"/>
          <w:szCs w:val="24"/>
        </w:rPr>
        <w:t xml:space="preserve"> (</w:t>
      </w:r>
      <w:r w:rsidR="00EA0C15" w:rsidRPr="00FB699B">
        <w:rPr>
          <w:rFonts w:cstheme="minorHAnsi"/>
          <w:bCs/>
          <w:iCs/>
          <w:sz w:val="24"/>
          <w:szCs w:val="24"/>
        </w:rPr>
        <w:t xml:space="preserve">2022: veći </w:t>
      </w:r>
      <w:r w:rsidR="001729F9" w:rsidRPr="00FB699B">
        <w:rPr>
          <w:rFonts w:cstheme="minorHAnsi"/>
          <w:bCs/>
          <w:iCs/>
          <w:sz w:val="24"/>
          <w:szCs w:val="24"/>
        </w:rPr>
        <w:t xml:space="preserve">za </w:t>
      </w:r>
      <w:r w:rsidR="00EA0C15" w:rsidRPr="00FB699B">
        <w:rPr>
          <w:rFonts w:cstheme="minorHAnsi"/>
          <w:bCs/>
          <w:iCs/>
          <w:sz w:val="24"/>
          <w:szCs w:val="24"/>
        </w:rPr>
        <w:t>27% ili za 1.206.030,01 eur u odnosu na 2021.)</w:t>
      </w:r>
      <w:r w:rsidR="001729F9" w:rsidRPr="00FB699B">
        <w:rPr>
          <w:rFonts w:cstheme="minorHAnsi"/>
          <w:bCs/>
          <w:iCs/>
          <w:sz w:val="24"/>
          <w:szCs w:val="24"/>
        </w:rPr>
        <w:t xml:space="preserve"> </w:t>
      </w:r>
      <w:r w:rsidRPr="00FB699B">
        <w:rPr>
          <w:rFonts w:cstheme="minorHAnsi"/>
          <w:bCs/>
          <w:iCs/>
          <w:sz w:val="24"/>
          <w:szCs w:val="24"/>
        </w:rPr>
        <w:t>što je rezultat novog cjenika koji je u primjeni od 01.05.2022. godine te povećanja broja korisnika usluga.</w:t>
      </w:r>
    </w:p>
    <w:p w14:paraId="0C5671BA" w14:textId="08BF3D9B" w:rsidR="00F72849" w:rsidRPr="00FB699B" w:rsidRDefault="00F72849" w:rsidP="00F72849">
      <w:pPr>
        <w:tabs>
          <w:tab w:val="left" w:pos="1134"/>
        </w:tabs>
        <w:spacing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FB699B">
        <w:rPr>
          <w:rFonts w:cstheme="minorHAnsi"/>
          <w:b/>
          <w:bCs/>
          <w:iCs/>
          <w:sz w:val="24"/>
          <w:szCs w:val="24"/>
        </w:rPr>
        <w:t>/i/</w:t>
      </w:r>
      <w:r w:rsidRPr="00FB699B">
        <w:rPr>
          <w:rFonts w:cstheme="minorHAnsi"/>
          <w:iCs/>
          <w:sz w:val="24"/>
          <w:szCs w:val="24"/>
        </w:rPr>
        <w:t xml:space="preserve">   Prihodi od odvoza i zbrinjavanja otpada u </w:t>
      </w:r>
      <w:r w:rsidR="00EA0C15" w:rsidRPr="00FB699B">
        <w:rPr>
          <w:rFonts w:cstheme="minorHAnsi"/>
          <w:iCs/>
          <w:sz w:val="24"/>
          <w:szCs w:val="24"/>
        </w:rPr>
        <w:t>2023. godini iznose 5.957.580,71 eur (2022.: 5.124.728,</w:t>
      </w:r>
      <w:r w:rsidR="00AF2E6C">
        <w:rPr>
          <w:rFonts w:cstheme="minorHAnsi"/>
          <w:iCs/>
          <w:sz w:val="24"/>
          <w:szCs w:val="24"/>
        </w:rPr>
        <w:t>76</w:t>
      </w:r>
      <w:r w:rsidR="001729F9" w:rsidRPr="00FB699B">
        <w:rPr>
          <w:rFonts w:cstheme="minorHAnsi"/>
          <w:iCs/>
          <w:sz w:val="24"/>
          <w:szCs w:val="24"/>
        </w:rPr>
        <w:t xml:space="preserve"> eur</w:t>
      </w:r>
      <w:r w:rsidR="00EA0C15" w:rsidRPr="00FB699B">
        <w:rPr>
          <w:rFonts w:cstheme="minorHAnsi"/>
          <w:iCs/>
          <w:sz w:val="24"/>
          <w:szCs w:val="24"/>
        </w:rPr>
        <w:t xml:space="preserve">) i </w:t>
      </w:r>
      <w:r w:rsidRPr="00FB699B">
        <w:rPr>
          <w:rFonts w:cstheme="minorHAnsi"/>
          <w:iCs/>
          <w:sz w:val="24"/>
          <w:szCs w:val="24"/>
        </w:rPr>
        <w:t xml:space="preserve">veći su </w:t>
      </w:r>
      <w:r w:rsidR="00EA0C15" w:rsidRPr="00FB699B">
        <w:rPr>
          <w:rFonts w:cstheme="minorHAnsi"/>
          <w:iCs/>
          <w:sz w:val="24"/>
          <w:szCs w:val="24"/>
        </w:rPr>
        <w:t>u odnosu na prethodnu godinu za 16% ili</w:t>
      </w:r>
      <w:r w:rsidR="001729F9" w:rsidRPr="00FB699B">
        <w:rPr>
          <w:rFonts w:cstheme="minorHAnsi"/>
          <w:iCs/>
          <w:sz w:val="24"/>
          <w:szCs w:val="24"/>
        </w:rPr>
        <w:t xml:space="preserve"> za</w:t>
      </w:r>
      <w:r w:rsidRPr="00FB699B">
        <w:rPr>
          <w:rFonts w:cstheme="minorHAnsi"/>
          <w:iCs/>
          <w:sz w:val="24"/>
          <w:szCs w:val="24"/>
        </w:rPr>
        <w:t xml:space="preserve"> </w:t>
      </w:r>
      <w:r w:rsidR="008E354D" w:rsidRPr="00FB699B">
        <w:rPr>
          <w:rFonts w:cstheme="minorHAnsi"/>
          <w:iCs/>
          <w:sz w:val="24"/>
          <w:szCs w:val="24"/>
        </w:rPr>
        <w:t>832.85</w:t>
      </w:r>
      <w:r w:rsidR="00AF2E6C">
        <w:rPr>
          <w:rFonts w:cstheme="minorHAnsi"/>
          <w:iCs/>
          <w:sz w:val="24"/>
          <w:szCs w:val="24"/>
        </w:rPr>
        <w:t>1,95</w:t>
      </w:r>
      <w:r w:rsidR="008E354D" w:rsidRPr="00FB699B">
        <w:rPr>
          <w:rFonts w:cstheme="minorHAnsi"/>
          <w:iCs/>
          <w:sz w:val="24"/>
          <w:szCs w:val="24"/>
        </w:rPr>
        <w:t>eur</w:t>
      </w:r>
      <w:r w:rsidRPr="00FB699B">
        <w:rPr>
          <w:rFonts w:cstheme="minorHAnsi"/>
          <w:iCs/>
          <w:sz w:val="24"/>
          <w:szCs w:val="24"/>
        </w:rPr>
        <w:t xml:space="preserve"> (202</w:t>
      </w:r>
      <w:r w:rsidR="00EA0C15" w:rsidRPr="00FB699B">
        <w:rPr>
          <w:rFonts w:cstheme="minorHAnsi"/>
          <w:iCs/>
          <w:sz w:val="24"/>
          <w:szCs w:val="24"/>
        </w:rPr>
        <w:t>2</w:t>
      </w:r>
      <w:r w:rsidRPr="00FB699B">
        <w:rPr>
          <w:rFonts w:cstheme="minorHAnsi"/>
          <w:iCs/>
          <w:sz w:val="24"/>
          <w:szCs w:val="24"/>
        </w:rPr>
        <w:t xml:space="preserve">.: veći za </w:t>
      </w:r>
      <w:r w:rsidR="00EA0C15" w:rsidRPr="00FB699B">
        <w:rPr>
          <w:rFonts w:cstheme="minorHAnsi"/>
          <w:iCs/>
          <w:sz w:val="24"/>
          <w:szCs w:val="24"/>
        </w:rPr>
        <w:t>35 % odnosno</w:t>
      </w:r>
      <w:r w:rsidR="001729F9" w:rsidRPr="00FB699B">
        <w:rPr>
          <w:rFonts w:cstheme="minorHAnsi"/>
          <w:iCs/>
          <w:sz w:val="24"/>
          <w:szCs w:val="24"/>
        </w:rPr>
        <w:t xml:space="preserve"> za</w:t>
      </w:r>
      <w:r w:rsidR="00EA0C15" w:rsidRPr="00FB699B">
        <w:rPr>
          <w:rFonts w:cstheme="minorHAnsi"/>
          <w:iCs/>
          <w:sz w:val="24"/>
          <w:szCs w:val="24"/>
        </w:rPr>
        <w:t xml:space="preserve"> 1.335.466,88 eur u odnosu na 2021.) </w:t>
      </w:r>
    </w:p>
    <w:p w14:paraId="6B559C72" w14:textId="17625307" w:rsidR="00F72849" w:rsidRDefault="00F72849" w:rsidP="00F72849">
      <w:pPr>
        <w:tabs>
          <w:tab w:val="left" w:pos="1134"/>
        </w:tabs>
        <w:spacing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bookmarkStart w:id="16" w:name="_Hlk164922372"/>
      <w:r w:rsidRPr="00FB699B">
        <w:rPr>
          <w:rFonts w:cstheme="minorHAnsi"/>
          <w:b/>
          <w:bCs/>
          <w:iCs/>
          <w:sz w:val="24"/>
          <w:szCs w:val="24"/>
        </w:rPr>
        <w:t>/ii/</w:t>
      </w:r>
      <w:r w:rsidRPr="00FB699B">
        <w:rPr>
          <w:rFonts w:cstheme="minorHAnsi"/>
          <w:iCs/>
          <w:sz w:val="24"/>
          <w:szCs w:val="24"/>
        </w:rPr>
        <w:t xml:space="preserve">   Prihodi od prodaje sekundarnih sirovina i prikupljanja ambalažnog otpada </w:t>
      </w:r>
      <w:r w:rsidR="008E354D" w:rsidRPr="00FB699B">
        <w:rPr>
          <w:rFonts w:cstheme="minorHAnsi"/>
          <w:iCs/>
          <w:sz w:val="24"/>
          <w:szCs w:val="24"/>
        </w:rPr>
        <w:t xml:space="preserve">manji </w:t>
      </w:r>
      <w:r w:rsidRPr="00FB699B">
        <w:rPr>
          <w:rFonts w:cstheme="minorHAnsi"/>
          <w:iCs/>
          <w:sz w:val="24"/>
          <w:szCs w:val="24"/>
        </w:rPr>
        <w:t>su u odnosu na</w:t>
      </w:r>
      <w:r w:rsidRPr="00FB699B">
        <w:rPr>
          <w:rFonts w:cstheme="minorHAnsi"/>
          <w:bCs/>
          <w:iCs/>
          <w:sz w:val="24"/>
          <w:szCs w:val="24"/>
        </w:rPr>
        <w:t xml:space="preserve"> prethodnu godinu za </w:t>
      </w:r>
      <w:r w:rsidR="00681FAF" w:rsidRPr="00FB699B">
        <w:rPr>
          <w:rFonts w:cstheme="minorHAnsi"/>
          <w:bCs/>
          <w:iCs/>
          <w:sz w:val="24"/>
          <w:szCs w:val="24"/>
        </w:rPr>
        <w:t>2</w:t>
      </w:r>
      <w:r w:rsidR="00D1231A">
        <w:rPr>
          <w:rFonts w:cstheme="minorHAnsi"/>
          <w:bCs/>
          <w:iCs/>
          <w:sz w:val="24"/>
          <w:szCs w:val="24"/>
        </w:rPr>
        <w:t>6</w:t>
      </w:r>
      <w:r w:rsidR="00681FAF" w:rsidRPr="00FB699B">
        <w:rPr>
          <w:rFonts w:cstheme="minorHAnsi"/>
          <w:bCs/>
          <w:iCs/>
          <w:sz w:val="24"/>
          <w:szCs w:val="24"/>
        </w:rPr>
        <w:t xml:space="preserve">% odnosno </w:t>
      </w:r>
      <w:r w:rsidR="00130EA7">
        <w:rPr>
          <w:rFonts w:cstheme="minorHAnsi"/>
          <w:bCs/>
          <w:iCs/>
          <w:sz w:val="24"/>
          <w:szCs w:val="24"/>
        </w:rPr>
        <w:t xml:space="preserve">za </w:t>
      </w:r>
      <w:r w:rsidR="00D1231A">
        <w:rPr>
          <w:rFonts w:cstheme="minorHAnsi"/>
          <w:bCs/>
          <w:iCs/>
          <w:sz w:val="24"/>
          <w:szCs w:val="24"/>
        </w:rPr>
        <w:t>119.916,1</w:t>
      </w:r>
      <w:r w:rsidR="00AF2E6C">
        <w:rPr>
          <w:rFonts w:cstheme="minorHAnsi"/>
          <w:bCs/>
          <w:iCs/>
          <w:sz w:val="24"/>
          <w:szCs w:val="24"/>
        </w:rPr>
        <w:t>0</w:t>
      </w:r>
      <w:r w:rsidR="008E354D" w:rsidRPr="00FB699B">
        <w:rPr>
          <w:rFonts w:cstheme="minorHAnsi"/>
          <w:bCs/>
          <w:iCs/>
          <w:sz w:val="24"/>
          <w:szCs w:val="24"/>
        </w:rPr>
        <w:t xml:space="preserve"> eur </w:t>
      </w:r>
      <w:r w:rsidRPr="00FB699B">
        <w:rPr>
          <w:rFonts w:cstheme="minorHAnsi"/>
          <w:bCs/>
          <w:iCs/>
          <w:sz w:val="24"/>
          <w:szCs w:val="24"/>
        </w:rPr>
        <w:t>(202</w:t>
      </w:r>
      <w:r w:rsidR="00681FAF" w:rsidRPr="00FB699B">
        <w:rPr>
          <w:rFonts w:cstheme="minorHAnsi"/>
          <w:bCs/>
          <w:iCs/>
          <w:sz w:val="24"/>
          <w:szCs w:val="24"/>
        </w:rPr>
        <w:t>2</w:t>
      </w:r>
      <w:r w:rsidRPr="00FB699B">
        <w:rPr>
          <w:rFonts w:cstheme="minorHAnsi"/>
          <w:bCs/>
          <w:iCs/>
          <w:sz w:val="24"/>
          <w:szCs w:val="24"/>
        </w:rPr>
        <w:t xml:space="preserve">.: veći </w:t>
      </w:r>
      <w:r w:rsidR="001729F9" w:rsidRPr="00FB699B">
        <w:rPr>
          <w:rFonts w:cstheme="minorHAnsi"/>
          <w:bCs/>
          <w:iCs/>
          <w:sz w:val="24"/>
          <w:szCs w:val="24"/>
        </w:rPr>
        <w:t xml:space="preserve">za </w:t>
      </w:r>
      <w:r w:rsidR="00681FAF" w:rsidRPr="00FB699B">
        <w:rPr>
          <w:rFonts w:cstheme="minorHAnsi"/>
          <w:bCs/>
          <w:iCs/>
          <w:sz w:val="24"/>
          <w:szCs w:val="24"/>
        </w:rPr>
        <w:t>9% ili za  38.601,75 eur u odnosu na 2021.</w:t>
      </w:r>
      <w:r w:rsidRPr="00FB699B">
        <w:rPr>
          <w:rFonts w:eastAsia="Calibri" w:cstheme="minorHAnsi"/>
          <w:sz w:val="24"/>
          <w:szCs w:val="24"/>
        </w:rPr>
        <w:t>)</w:t>
      </w:r>
      <w:r w:rsidR="00130EA7">
        <w:rPr>
          <w:rFonts w:eastAsia="Calibri" w:cstheme="minorHAnsi"/>
          <w:sz w:val="24"/>
          <w:szCs w:val="24"/>
        </w:rPr>
        <w:t xml:space="preserve"> zbog</w:t>
      </w:r>
      <w:r w:rsidR="00D24F91" w:rsidRPr="00D24F91">
        <w:rPr>
          <w:rFonts w:cstheme="minorHAnsi"/>
          <w:bCs/>
          <w:iCs/>
          <w:sz w:val="24"/>
          <w:szCs w:val="24"/>
        </w:rPr>
        <w:t xml:space="preserve"> manj</w:t>
      </w:r>
      <w:r w:rsidR="00130EA7">
        <w:rPr>
          <w:rFonts w:cstheme="minorHAnsi"/>
          <w:bCs/>
          <w:iCs/>
          <w:sz w:val="24"/>
          <w:szCs w:val="24"/>
        </w:rPr>
        <w:t>e</w:t>
      </w:r>
      <w:r w:rsidR="00D24F91" w:rsidRPr="00D24F91">
        <w:rPr>
          <w:rFonts w:cstheme="minorHAnsi"/>
          <w:bCs/>
          <w:iCs/>
          <w:sz w:val="24"/>
          <w:szCs w:val="24"/>
        </w:rPr>
        <w:t xml:space="preserve"> količin</w:t>
      </w:r>
      <w:r w:rsidR="00130EA7">
        <w:rPr>
          <w:rFonts w:cstheme="minorHAnsi"/>
          <w:bCs/>
          <w:iCs/>
          <w:sz w:val="24"/>
          <w:szCs w:val="24"/>
        </w:rPr>
        <w:t>e</w:t>
      </w:r>
      <w:r w:rsidR="00D24F91" w:rsidRPr="00D24F91">
        <w:rPr>
          <w:rFonts w:cstheme="minorHAnsi"/>
          <w:bCs/>
          <w:iCs/>
          <w:sz w:val="24"/>
          <w:szCs w:val="24"/>
        </w:rPr>
        <w:t xml:space="preserve"> predanog kartona </w:t>
      </w:r>
      <w:r w:rsidR="00130EA7">
        <w:rPr>
          <w:rFonts w:cstheme="minorHAnsi"/>
          <w:bCs/>
          <w:iCs/>
          <w:sz w:val="24"/>
          <w:szCs w:val="24"/>
        </w:rPr>
        <w:t>(-</w:t>
      </w:r>
      <w:r w:rsidR="00D24F91" w:rsidRPr="00D24F91">
        <w:rPr>
          <w:rFonts w:cstheme="minorHAnsi"/>
          <w:bCs/>
          <w:iCs/>
          <w:sz w:val="24"/>
          <w:szCs w:val="24"/>
        </w:rPr>
        <w:t xml:space="preserve"> 8%</w:t>
      </w:r>
      <w:r w:rsidR="00130EA7">
        <w:rPr>
          <w:rFonts w:cstheme="minorHAnsi"/>
          <w:bCs/>
          <w:iCs/>
          <w:sz w:val="24"/>
          <w:szCs w:val="24"/>
        </w:rPr>
        <w:t xml:space="preserve">), </w:t>
      </w:r>
      <w:r w:rsidR="00D24F91" w:rsidRPr="00D24F91">
        <w:rPr>
          <w:rFonts w:cstheme="minorHAnsi"/>
          <w:bCs/>
          <w:iCs/>
          <w:sz w:val="24"/>
          <w:szCs w:val="24"/>
        </w:rPr>
        <w:t xml:space="preserve"> ali i </w:t>
      </w:r>
      <w:r w:rsidR="00130EA7">
        <w:rPr>
          <w:rFonts w:cstheme="minorHAnsi"/>
          <w:bCs/>
          <w:iCs/>
          <w:sz w:val="24"/>
          <w:szCs w:val="24"/>
        </w:rPr>
        <w:t>zbog</w:t>
      </w:r>
      <w:r w:rsidR="00D24F91" w:rsidRPr="00D24F91">
        <w:rPr>
          <w:rFonts w:cstheme="minorHAnsi"/>
          <w:bCs/>
          <w:iCs/>
          <w:sz w:val="24"/>
          <w:szCs w:val="24"/>
        </w:rPr>
        <w:t xml:space="preserve"> pad</w:t>
      </w:r>
      <w:r w:rsidR="00130EA7">
        <w:rPr>
          <w:rFonts w:cstheme="minorHAnsi"/>
          <w:bCs/>
          <w:iCs/>
          <w:sz w:val="24"/>
          <w:szCs w:val="24"/>
        </w:rPr>
        <w:t xml:space="preserve">a jediničnih </w:t>
      </w:r>
      <w:r w:rsidR="00D24F91" w:rsidRPr="00D24F91">
        <w:rPr>
          <w:rFonts w:cstheme="minorHAnsi"/>
          <w:bCs/>
          <w:iCs/>
          <w:sz w:val="24"/>
          <w:szCs w:val="24"/>
        </w:rPr>
        <w:t xml:space="preserve">cijena na tržištu za sve </w:t>
      </w:r>
      <w:r w:rsidR="00130EA7">
        <w:rPr>
          <w:rFonts w:cstheme="minorHAnsi"/>
          <w:bCs/>
          <w:iCs/>
          <w:sz w:val="24"/>
          <w:szCs w:val="24"/>
        </w:rPr>
        <w:t>vrste sekundarnih sirovina.</w:t>
      </w:r>
    </w:p>
    <w:p w14:paraId="15AA74FC" w14:textId="77777777" w:rsidR="00D24F91" w:rsidRPr="008E354D" w:rsidRDefault="00D24F91" w:rsidP="00F72849">
      <w:pPr>
        <w:tabs>
          <w:tab w:val="left" w:pos="1134"/>
        </w:tabs>
        <w:spacing w:line="240" w:lineRule="auto"/>
        <w:ind w:right="92"/>
        <w:jc w:val="both"/>
        <w:rPr>
          <w:rFonts w:cstheme="minorHAnsi"/>
          <w:bCs/>
          <w:iCs/>
          <w:color w:val="FF0000"/>
          <w:sz w:val="24"/>
          <w:szCs w:val="24"/>
        </w:rPr>
      </w:pPr>
    </w:p>
    <w:bookmarkEnd w:id="16"/>
    <w:p w14:paraId="4E5FC43D" w14:textId="77777777" w:rsidR="00F72849" w:rsidRPr="001B79E7" w:rsidRDefault="00F72849" w:rsidP="00F72849">
      <w:pPr>
        <w:pStyle w:val="ListParagraph"/>
        <w:numPr>
          <w:ilvl w:val="0"/>
          <w:numId w:val="10"/>
        </w:numPr>
        <w:spacing w:line="240" w:lineRule="auto"/>
        <w:jc w:val="both"/>
        <w:rPr>
          <w:rFonts w:eastAsia="Calibri" w:cstheme="minorHAnsi"/>
          <w:b/>
          <w:iCs/>
          <w:sz w:val="24"/>
          <w:szCs w:val="24"/>
        </w:rPr>
      </w:pPr>
      <w:r w:rsidRPr="001B79E7">
        <w:rPr>
          <w:rFonts w:eastAsia="Calibri" w:cstheme="minorHAnsi"/>
          <w:b/>
          <w:iCs/>
          <w:sz w:val="24"/>
          <w:szCs w:val="24"/>
        </w:rPr>
        <w:t>Ostali poslovni prihodi</w:t>
      </w:r>
    </w:p>
    <w:p w14:paraId="4AF837B2" w14:textId="2BE17BAB" w:rsidR="00F72849" w:rsidRPr="00641723" w:rsidRDefault="00F72849" w:rsidP="00F72849">
      <w:pPr>
        <w:spacing w:line="240" w:lineRule="auto"/>
        <w:jc w:val="both"/>
        <w:rPr>
          <w:rFonts w:eastAsia="Calibri" w:cstheme="minorHAnsi"/>
          <w:b/>
          <w:iCs/>
          <w:sz w:val="24"/>
          <w:szCs w:val="24"/>
        </w:rPr>
      </w:pPr>
      <w:r w:rsidRPr="001B79E7">
        <w:rPr>
          <w:rFonts w:eastAsia="Calibri" w:cstheme="minorHAnsi"/>
          <w:b/>
          <w:iCs/>
          <w:sz w:val="24"/>
          <w:szCs w:val="24"/>
        </w:rPr>
        <w:t>/i/</w:t>
      </w:r>
      <w:r w:rsidRPr="001B79E7">
        <w:rPr>
          <w:rFonts w:eastAsia="Calibri" w:cstheme="minorHAnsi"/>
          <w:b/>
          <w:iCs/>
          <w:sz w:val="24"/>
          <w:szCs w:val="24"/>
        </w:rPr>
        <w:tab/>
      </w:r>
      <w:r w:rsidRPr="001B79E7">
        <w:rPr>
          <w:rFonts w:eastAsia="Calibri" w:cstheme="minorHAnsi"/>
          <w:bCs/>
          <w:iCs/>
          <w:sz w:val="24"/>
          <w:szCs w:val="24"/>
        </w:rPr>
        <w:t xml:space="preserve">Ostali poslovni prihodi </w:t>
      </w:r>
      <w:r w:rsidR="00C007B7" w:rsidRPr="001B79E7">
        <w:rPr>
          <w:rFonts w:eastAsia="Calibri" w:cstheme="minorHAnsi"/>
          <w:bCs/>
          <w:iCs/>
          <w:sz w:val="24"/>
          <w:szCs w:val="24"/>
        </w:rPr>
        <w:t xml:space="preserve">u iznosu od </w:t>
      </w:r>
      <w:r w:rsidR="00D1231A" w:rsidRPr="001B79E7">
        <w:rPr>
          <w:rFonts w:eastAsia="Calibri" w:cstheme="minorHAnsi"/>
          <w:bCs/>
          <w:iCs/>
          <w:sz w:val="24"/>
          <w:szCs w:val="24"/>
        </w:rPr>
        <w:t>16.581,08</w:t>
      </w:r>
      <w:r w:rsidR="00C007B7" w:rsidRPr="001B79E7">
        <w:rPr>
          <w:rFonts w:eastAsia="Calibri" w:cstheme="minorHAnsi"/>
          <w:bCs/>
          <w:iCs/>
          <w:sz w:val="24"/>
          <w:szCs w:val="24"/>
        </w:rPr>
        <w:t xml:space="preserve"> eur </w:t>
      </w:r>
      <w:r w:rsidRPr="001B79E7">
        <w:rPr>
          <w:rFonts w:eastAsia="Calibri" w:cstheme="minorHAnsi"/>
          <w:bCs/>
          <w:iCs/>
          <w:sz w:val="24"/>
          <w:szCs w:val="24"/>
        </w:rPr>
        <w:t>obuhvaćaju</w:t>
      </w:r>
      <w:r w:rsidR="00FB699B" w:rsidRPr="001B79E7">
        <w:rPr>
          <w:rFonts w:eastAsia="Calibri" w:cstheme="minorHAnsi"/>
          <w:bCs/>
          <w:iCs/>
          <w:sz w:val="24"/>
          <w:szCs w:val="24"/>
        </w:rPr>
        <w:t xml:space="preserve">: </w:t>
      </w:r>
      <w:bookmarkStart w:id="17" w:name="_Hlk165014516"/>
      <w:r w:rsidR="00FB699B" w:rsidRPr="001B79E7">
        <w:rPr>
          <w:rFonts w:eastAsia="Calibri" w:cstheme="minorHAnsi"/>
          <w:bCs/>
          <w:iCs/>
          <w:sz w:val="24"/>
          <w:szCs w:val="24"/>
        </w:rPr>
        <w:t>prihode od</w:t>
      </w:r>
      <w:r w:rsidR="00221E4C" w:rsidRPr="001B79E7">
        <w:rPr>
          <w:rFonts w:eastAsia="Calibri" w:cstheme="minorHAnsi"/>
          <w:bCs/>
          <w:iCs/>
          <w:sz w:val="24"/>
          <w:szCs w:val="24"/>
        </w:rPr>
        <w:t xml:space="preserve"> subvenci</w:t>
      </w:r>
      <w:r w:rsidR="00FB699B" w:rsidRPr="001B79E7">
        <w:rPr>
          <w:rFonts w:eastAsia="Calibri" w:cstheme="minorHAnsi"/>
          <w:bCs/>
          <w:iCs/>
          <w:sz w:val="24"/>
          <w:szCs w:val="24"/>
        </w:rPr>
        <w:t>onirane</w:t>
      </w:r>
      <w:r w:rsidR="00221E4C" w:rsidRPr="001B79E7">
        <w:rPr>
          <w:rFonts w:eastAsia="Calibri" w:cstheme="minorHAnsi"/>
          <w:bCs/>
          <w:iCs/>
          <w:sz w:val="24"/>
          <w:szCs w:val="24"/>
        </w:rPr>
        <w:t xml:space="preserve"> cijene električne energije 10.301,55 </w:t>
      </w:r>
      <w:r w:rsidR="00C007B7" w:rsidRPr="001B79E7">
        <w:rPr>
          <w:rFonts w:eastAsia="Calibri" w:cstheme="minorHAnsi"/>
          <w:bCs/>
          <w:iCs/>
          <w:sz w:val="24"/>
          <w:szCs w:val="24"/>
        </w:rPr>
        <w:t>eur</w:t>
      </w:r>
      <w:bookmarkEnd w:id="17"/>
      <w:r w:rsidR="00221E4C" w:rsidRPr="001B79E7">
        <w:rPr>
          <w:rFonts w:eastAsia="Calibri" w:cstheme="minorHAnsi"/>
          <w:bCs/>
          <w:iCs/>
          <w:sz w:val="24"/>
          <w:szCs w:val="24"/>
        </w:rPr>
        <w:t xml:space="preserve">, prihod od prodaje vozila 2.590,00 </w:t>
      </w:r>
      <w:r w:rsidR="00C007B7" w:rsidRPr="001B79E7">
        <w:rPr>
          <w:rFonts w:eastAsia="Calibri" w:cstheme="minorHAnsi"/>
          <w:bCs/>
          <w:iCs/>
          <w:sz w:val="24"/>
          <w:szCs w:val="24"/>
        </w:rPr>
        <w:t>eur</w:t>
      </w:r>
      <w:r w:rsidR="00D1231A" w:rsidRPr="001B79E7">
        <w:rPr>
          <w:rFonts w:eastAsia="Calibri" w:cstheme="minorHAnsi"/>
          <w:bCs/>
          <w:iCs/>
          <w:sz w:val="24"/>
          <w:szCs w:val="24"/>
        </w:rPr>
        <w:t xml:space="preserve"> te ostale prihode u iznosu od </w:t>
      </w:r>
      <w:r w:rsidR="001B79E7" w:rsidRPr="001B79E7">
        <w:rPr>
          <w:rFonts w:eastAsia="Calibri" w:cstheme="minorHAnsi"/>
          <w:bCs/>
          <w:iCs/>
          <w:sz w:val="24"/>
          <w:szCs w:val="24"/>
        </w:rPr>
        <w:t>3.689,53 eur.</w:t>
      </w:r>
    </w:p>
    <w:p w14:paraId="2F7D71D8" w14:textId="59C2FC31" w:rsidR="00F72849" w:rsidRPr="001B498B" w:rsidRDefault="00F72849" w:rsidP="00F72849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1B498B">
        <w:rPr>
          <w:rFonts w:eastAsia="Calibri" w:cstheme="minorHAnsi"/>
          <w:b/>
          <w:iCs/>
          <w:sz w:val="24"/>
          <w:szCs w:val="24"/>
        </w:rPr>
        <w:t>/ii/</w:t>
      </w:r>
      <w:r w:rsidRPr="001B498B">
        <w:rPr>
          <w:rFonts w:eastAsia="Calibri" w:cstheme="minorHAnsi"/>
          <w:bCs/>
          <w:iCs/>
          <w:sz w:val="24"/>
          <w:szCs w:val="24"/>
        </w:rPr>
        <w:tab/>
      </w:r>
      <w:r w:rsidR="00E77C62" w:rsidRPr="001B498B">
        <w:rPr>
          <w:rFonts w:eastAsia="Calibri" w:cstheme="minorHAnsi"/>
          <w:bCs/>
          <w:iCs/>
          <w:sz w:val="24"/>
          <w:szCs w:val="24"/>
        </w:rPr>
        <w:t>Društvo je iskazalo p</w:t>
      </w:r>
      <w:r w:rsidRPr="001B498B">
        <w:rPr>
          <w:rFonts w:eastAsia="Calibri" w:cstheme="minorHAnsi"/>
          <w:bCs/>
          <w:iCs/>
          <w:sz w:val="24"/>
          <w:szCs w:val="24"/>
        </w:rPr>
        <w:t xml:space="preserve">rihod </w:t>
      </w:r>
      <w:r w:rsidR="00E77C62" w:rsidRPr="001B498B">
        <w:rPr>
          <w:rFonts w:eastAsia="Calibri" w:cstheme="minorHAnsi"/>
          <w:bCs/>
          <w:iCs/>
          <w:sz w:val="24"/>
          <w:szCs w:val="24"/>
        </w:rPr>
        <w:t xml:space="preserve">ostvaren </w:t>
      </w:r>
      <w:r w:rsidR="00E77C62" w:rsidRPr="001B498B">
        <w:rPr>
          <w:rFonts w:cstheme="minorHAnsi"/>
          <w:bCs/>
          <w:sz w:val="24"/>
          <w:szCs w:val="24"/>
        </w:rPr>
        <w:t xml:space="preserve">u 2023. godini </w:t>
      </w:r>
      <w:r w:rsidRPr="001B498B">
        <w:rPr>
          <w:rFonts w:eastAsia="Calibri" w:cstheme="minorHAnsi"/>
          <w:bCs/>
          <w:iCs/>
          <w:sz w:val="24"/>
          <w:szCs w:val="24"/>
        </w:rPr>
        <w:t>po EU projekt</w:t>
      </w:r>
      <w:r w:rsidR="00E77C62" w:rsidRPr="001B498B">
        <w:rPr>
          <w:rFonts w:eastAsia="Calibri" w:cstheme="minorHAnsi"/>
          <w:bCs/>
          <w:iCs/>
          <w:sz w:val="24"/>
          <w:szCs w:val="24"/>
        </w:rPr>
        <w:t>u</w:t>
      </w:r>
      <w:r w:rsidR="008A5105" w:rsidRPr="001B498B">
        <w:rPr>
          <w:rFonts w:cstheme="minorHAnsi"/>
          <w:bCs/>
          <w:sz w:val="24"/>
          <w:szCs w:val="24"/>
        </w:rPr>
        <w:t xml:space="preserve"> InNoPlastic</w:t>
      </w:r>
      <w:r w:rsidR="00E77C62" w:rsidRPr="001B498B">
        <w:rPr>
          <w:rFonts w:cstheme="minorHAnsi"/>
          <w:bCs/>
          <w:sz w:val="24"/>
          <w:szCs w:val="24"/>
        </w:rPr>
        <w:t xml:space="preserve"> u</w:t>
      </w:r>
      <w:r w:rsidRPr="001B498B">
        <w:rPr>
          <w:rFonts w:cstheme="minorHAnsi"/>
          <w:bCs/>
          <w:sz w:val="24"/>
          <w:szCs w:val="24"/>
        </w:rPr>
        <w:t xml:space="preserve"> iznosu od </w:t>
      </w:r>
      <w:r w:rsidR="00650E4F" w:rsidRPr="001B498B">
        <w:rPr>
          <w:rFonts w:cstheme="minorHAnsi"/>
          <w:bCs/>
          <w:sz w:val="24"/>
          <w:szCs w:val="24"/>
        </w:rPr>
        <w:t>67.021,37 eur</w:t>
      </w:r>
      <w:r w:rsidRPr="001B498B">
        <w:rPr>
          <w:rFonts w:cstheme="minorHAnsi"/>
          <w:bCs/>
          <w:sz w:val="24"/>
          <w:szCs w:val="24"/>
        </w:rPr>
        <w:t xml:space="preserve"> (202</w:t>
      </w:r>
      <w:r w:rsidR="00650E4F" w:rsidRPr="001B498B">
        <w:rPr>
          <w:rFonts w:cstheme="minorHAnsi"/>
          <w:bCs/>
          <w:sz w:val="24"/>
          <w:szCs w:val="24"/>
        </w:rPr>
        <w:t>2</w:t>
      </w:r>
      <w:r w:rsidRPr="001B498B">
        <w:rPr>
          <w:rFonts w:cstheme="minorHAnsi"/>
          <w:bCs/>
          <w:sz w:val="24"/>
          <w:szCs w:val="24"/>
        </w:rPr>
        <w:t xml:space="preserve">.: </w:t>
      </w:r>
      <w:r w:rsidR="00650E4F" w:rsidRPr="001B498B">
        <w:rPr>
          <w:rFonts w:eastAsia="Calibri" w:cstheme="minorHAnsi"/>
          <w:bCs/>
          <w:iCs/>
          <w:sz w:val="24"/>
          <w:szCs w:val="24"/>
        </w:rPr>
        <w:t>85.668,8</w:t>
      </w:r>
      <w:r w:rsidR="00AF2E6C" w:rsidRPr="001B498B">
        <w:rPr>
          <w:rFonts w:eastAsia="Calibri" w:cstheme="minorHAnsi"/>
          <w:bCs/>
          <w:iCs/>
          <w:sz w:val="24"/>
          <w:szCs w:val="24"/>
        </w:rPr>
        <w:t>5</w:t>
      </w:r>
      <w:r w:rsidR="00650E4F" w:rsidRPr="001B498B">
        <w:rPr>
          <w:rFonts w:eastAsia="Calibri" w:cstheme="minorHAnsi"/>
          <w:bCs/>
          <w:iCs/>
          <w:sz w:val="24"/>
          <w:szCs w:val="24"/>
        </w:rPr>
        <w:t xml:space="preserve"> eur)</w:t>
      </w:r>
      <w:r w:rsidRPr="001B498B">
        <w:rPr>
          <w:rFonts w:eastAsia="Calibri" w:cstheme="minorHAnsi"/>
          <w:bCs/>
          <w:iCs/>
          <w:sz w:val="24"/>
          <w:szCs w:val="24"/>
        </w:rPr>
        <w:t>,</w:t>
      </w:r>
      <w:r w:rsidRPr="001B498B">
        <w:rPr>
          <w:rFonts w:cstheme="minorHAnsi"/>
          <w:bCs/>
          <w:sz w:val="24"/>
          <w:szCs w:val="24"/>
        </w:rPr>
        <w:t xml:space="preserve"> od čega se </w:t>
      </w:r>
      <w:bookmarkStart w:id="18" w:name="_Hlk99044515"/>
      <w:r w:rsidR="001B498B" w:rsidRPr="001B498B">
        <w:rPr>
          <w:rFonts w:cstheme="minorHAnsi"/>
          <w:bCs/>
          <w:sz w:val="24"/>
          <w:szCs w:val="24"/>
        </w:rPr>
        <w:t>24.449,90</w:t>
      </w:r>
      <w:r w:rsidR="008A5105" w:rsidRPr="001B498B">
        <w:rPr>
          <w:rFonts w:cstheme="minorHAnsi"/>
          <w:bCs/>
          <w:sz w:val="24"/>
          <w:szCs w:val="24"/>
        </w:rPr>
        <w:t xml:space="preserve"> eur</w:t>
      </w:r>
      <w:r w:rsidRPr="001B498B">
        <w:rPr>
          <w:rFonts w:cstheme="minorHAnsi"/>
          <w:bCs/>
          <w:sz w:val="24"/>
          <w:szCs w:val="24"/>
        </w:rPr>
        <w:t xml:space="preserve"> (202</w:t>
      </w:r>
      <w:r w:rsidR="008A5105" w:rsidRPr="001B498B">
        <w:rPr>
          <w:rFonts w:cstheme="minorHAnsi"/>
          <w:bCs/>
          <w:sz w:val="24"/>
          <w:szCs w:val="24"/>
        </w:rPr>
        <w:t>2</w:t>
      </w:r>
      <w:r w:rsidRPr="001B498B">
        <w:rPr>
          <w:rFonts w:cstheme="minorHAnsi"/>
          <w:bCs/>
          <w:sz w:val="24"/>
          <w:szCs w:val="24"/>
        </w:rPr>
        <w:t xml:space="preserve">.: </w:t>
      </w:r>
      <w:r w:rsidR="008A5105" w:rsidRPr="001B498B">
        <w:rPr>
          <w:rFonts w:cstheme="minorHAnsi"/>
          <w:bCs/>
          <w:sz w:val="24"/>
          <w:szCs w:val="24"/>
        </w:rPr>
        <w:t>56.887,67 eur</w:t>
      </w:r>
      <w:r w:rsidRPr="001B498B">
        <w:rPr>
          <w:rFonts w:cstheme="minorHAnsi"/>
          <w:bCs/>
          <w:sz w:val="24"/>
          <w:szCs w:val="24"/>
        </w:rPr>
        <w:t xml:space="preserve">) odnosi  na pokriće troškova vanjskih usluga, a </w:t>
      </w:r>
      <w:r w:rsidR="001B498B" w:rsidRPr="001B498B">
        <w:rPr>
          <w:rFonts w:cstheme="minorHAnsi"/>
          <w:bCs/>
          <w:sz w:val="24"/>
          <w:szCs w:val="24"/>
        </w:rPr>
        <w:t xml:space="preserve">42.571,47 </w:t>
      </w:r>
      <w:r w:rsidR="008A5105" w:rsidRPr="001B498B">
        <w:rPr>
          <w:rFonts w:cstheme="minorHAnsi"/>
          <w:bCs/>
          <w:sz w:val="24"/>
          <w:szCs w:val="24"/>
        </w:rPr>
        <w:t>eur</w:t>
      </w:r>
      <w:r w:rsidRPr="001B498B">
        <w:rPr>
          <w:rFonts w:cstheme="minorHAnsi"/>
          <w:bCs/>
          <w:sz w:val="24"/>
          <w:szCs w:val="24"/>
        </w:rPr>
        <w:t xml:space="preserve"> (202</w:t>
      </w:r>
      <w:r w:rsidR="008A5105" w:rsidRPr="001B498B">
        <w:rPr>
          <w:rFonts w:cstheme="minorHAnsi"/>
          <w:bCs/>
          <w:sz w:val="24"/>
          <w:szCs w:val="24"/>
        </w:rPr>
        <w:t>2</w:t>
      </w:r>
      <w:r w:rsidRPr="001B498B">
        <w:rPr>
          <w:rFonts w:cstheme="minorHAnsi"/>
          <w:bCs/>
          <w:sz w:val="24"/>
          <w:szCs w:val="24"/>
        </w:rPr>
        <w:t xml:space="preserve">.: </w:t>
      </w:r>
      <w:r w:rsidR="008A5105" w:rsidRPr="001B498B">
        <w:rPr>
          <w:rFonts w:cstheme="minorHAnsi"/>
          <w:bCs/>
          <w:sz w:val="24"/>
          <w:szCs w:val="24"/>
        </w:rPr>
        <w:t>28.781,17 eur</w:t>
      </w:r>
      <w:r w:rsidRPr="001B498B">
        <w:rPr>
          <w:rFonts w:cstheme="minorHAnsi"/>
          <w:bCs/>
          <w:sz w:val="24"/>
          <w:szCs w:val="24"/>
        </w:rPr>
        <w:t>) na pokriće troškova radnika koji su angažirani na EU projekt</w:t>
      </w:r>
      <w:r w:rsidR="008A5105" w:rsidRPr="001B498B">
        <w:rPr>
          <w:rFonts w:cstheme="minorHAnsi"/>
          <w:bCs/>
          <w:sz w:val="24"/>
          <w:szCs w:val="24"/>
        </w:rPr>
        <w:t>u</w:t>
      </w:r>
      <w:bookmarkEnd w:id="18"/>
      <w:r w:rsidR="008A5105" w:rsidRPr="001B498B">
        <w:rPr>
          <w:rFonts w:cstheme="minorHAnsi"/>
          <w:bCs/>
          <w:sz w:val="24"/>
          <w:szCs w:val="24"/>
        </w:rPr>
        <w:t>.</w:t>
      </w:r>
    </w:p>
    <w:p w14:paraId="2AD8F5FC" w14:textId="1D8E47B7" w:rsidR="00F72849" w:rsidRDefault="00F72849" w:rsidP="00F72849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19" w:name="_Hlk99106269"/>
      <w:r w:rsidRPr="001B498B">
        <w:rPr>
          <w:rFonts w:cstheme="minorHAnsi"/>
          <w:b/>
          <w:sz w:val="24"/>
          <w:szCs w:val="24"/>
        </w:rPr>
        <w:t>Projekt InNoPlastic</w:t>
      </w:r>
      <w:r w:rsidR="00E77C62" w:rsidRPr="001B498B">
        <w:rPr>
          <w:rFonts w:cstheme="minorHAnsi"/>
          <w:b/>
          <w:sz w:val="24"/>
          <w:szCs w:val="24"/>
        </w:rPr>
        <w:t xml:space="preserve"> </w:t>
      </w:r>
      <w:r w:rsidR="00E77C62" w:rsidRPr="001B498B">
        <w:rPr>
          <w:rFonts w:cstheme="minorHAnsi"/>
          <w:bCs/>
          <w:sz w:val="24"/>
          <w:szCs w:val="24"/>
        </w:rPr>
        <w:t xml:space="preserve">je </w:t>
      </w:r>
      <w:r w:rsidR="00CB4DD7">
        <w:rPr>
          <w:rFonts w:cstheme="minorHAnsi"/>
          <w:sz w:val="24"/>
          <w:szCs w:val="24"/>
        </w:rPr>
        <w:t>i</w:t>
      </w:r>
      <w:r w:rsidRPr="001B498B">
        <w:rPr>
          <w:rFonts w:cstheme="minorHAnsi"/>
          <w:sz w:val="24"/>
          <w:szCs w:val="24"/>
        </w:rPr>
        <w:t>straživačk</w:t>
      </w:r>
      <w:r w:rsidR="008A5C13">
        <w:rPr>
          <w:rFonts w:cstheme="minorHAnsi"/>
          <w:sz w:val="24"/>
          <w:szCs w:val="24"/>
        </w:rPr>
        <w:t>o</w:t>
      </w:r>
      <w:r w:rsidRPr="001B498B">
        <w:rPr>
          <w:rFonts w:cstheme="minorHAnsi"/>
          <w:sz w:val="24"/>
          <w:szCs w:val="24"/>
        </w:rPr>
        <w:t xml:space="preserve"> razvojni projekt iz progama Horizon (Obzor) 2020 u kojem sudjeluje 18 partnera iz više zemalja: Norveška, Nizozemska, Njemačka, Engleska, Belgija, Francuska, Rumunjska, Italija i Hrvatska. Vodeći partner projekta je Sintef AS iz Norveške (Trondheim). Cilj projekta je razviti učinkovito i automatizirano rješenje sprječavanja zagađenja otpadnih i oborinskih voda od mikro i makro plastike koja završava u morima te na kraju hranidbenim lancem i do čovjeka. Ukupni budžet projekta iznosi 7,43 milijuna EUR, od čega je 5,2 milijuna EUR europske potpore. Planirani iznos s kojim Društvo sudjeluje u projektu iznosi 308.562,50 EUR. </w:t>
      </w:r>
      <w:bookmarkStart w:id="20" w:name="_Hlk98915972"/>
      <w:r w:rsidRPr="001B498B">
        <w:rPr>
          <w:rFonts w:cstheme="minorHAnsi"/>
          <w:sz w:val="24"/>
          <w:szCs w:val="24"/>
        </w:rPr>
        <w:t>Udio sufinanciranja EU iznosi 70% prihvatljivih troškova.</w:t>
      </w:r>
      <w:r w:rsidR="000D1B28" w:rsidRPr="001B498B">
        <w:rPr>
          <w:rFonts w:cstheme="minorHAnsi"/>
          <w:sz w:val="24"/>
          <w:szCs w:val="24"/>
        </w:rPr>
        <w:t xml:space="preserve"> Razdoblje provedbe projekta ističe 31.03.2024. godine.</w:t>
      </w:r>
    </w:p>
    <w:p w14:paraId="7BB1B89A" w14:textId="77777777" w:rsidR="000D1B28" w:rsidRPr="00E77C62" w:rsidRDefault="000D1B28" w:rsidP="00F72849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3B7318B" w14:textId="77777777" w:rsidR="00F72849" w:rsidRDefault="00F72849" w:rsidP="00F72849">
      <w:pPr>
        <w:spacing w:line="240" w:lineRule="auto"/>
        <w:jc w:val="both"/>
        <w:rPr>
          <w:rFonts w:eastAsia="Calibri" w:cstheme="minorHAnsi"/>
          <w:bCs/>
          <w:iCs/>
          <w:sz w:val="24"/>
          <w:szCs w:val="24"/>
        </w:rPr>
      </w:pPr>
      <w:bookmarkStart w:id="21" w:name="_Hlk136606895"/>
      <w:bookmarkEnd w:id="20"/>
    </w:p>
    <w:p w14:paraId="263A3D17" w14:textId="77777777" w:rsidR="00CB4DD7" w:rsidRDefault="00CB4DD7" w:rsidP="00F72849">
      <w:pPr>
        <w:spacing w:line="240" w:lineRule="auto"/>
        <w:jc w:val="both"/>
        <w:rPr>
          <w:rFonts w:eastAsia="Calibri" w:cstheme="minorHAnsi"/>
          <w:bCs/>
          <w:iCs/>
          <w:sz w:val="24"/>
          <w:szCs w:val="24"/>
        </w:rPr>
      </w:pPr>
    </w:p>
    <w:p w14:paraId="5D397CCE" w14:textId="77777777" w:rsidR="00CB4DD7" w:rsidRDefault="00CB4DD7" w:rsidP="00F72849">
      <w:pPr>
        <w:spacing w:line="240" w:lineRule="auto"/>
        <w:jc w:val="both"/>
        <w:rPr>
          <w:rFonts w:eastAsia="Calibri" w:cstheme="minorHAnsi"/>
          <w:bCs/>
          <w:iCs/>
          <w:sz w:val="24"/>
          <w:szCs w:val="24"/>
        </w:rPr>
      </w:pPr>
    </w:p>
    <w:p w14:paraId="221121BA" w14:textId="77777777" w:rsidR="00CB4DD7" w:rsidRDefault="00CB4DD7" w:rsidP="00F72849">
      <w:pPr>
        <w:spacing w:line="240" w:lineRule="auto"/>
        <w:jc w:val="both"/>
        <w:rPr>
          <w:rFonts w:eastAsia="Calibri" w:cstheme="minorHAnsi"/>
          <w:bCs/>
          <w:iCs/>
          <w:sz w:val="24"/>
          <w:szCs w:val="24"/>
        </w:rPr>
      </w:pPr>
    </w:p>
    <w:p w14:paraId="27466FF7" w14:textId="77777777" w:rsidR="00CB4DD7" w:rsidRPr="00641723" w:rsidRDefault="00CB4DD7" w:rsidP="00F72849">
      <w:pPr>
        <w:spacing w:line="240" w:lineRule="auto"/>
        <w:jc w:val="both"/>
        <w:rPr>
          <w:rFonts w:eastAsia="Calibri" w:cstheme="minorHAnsi"/>
          <w:bCs/>
          <w:iCs/>
          <w:sz w:val="24"/>
          <w:szCs w:val="24"/>
        </w:rPr>
      </w:pPr>
    </w:p>
    <w:bookmarkEnd w:id="19"/>
    <w:bookmarkEnd w:id="21"/>
    <w:p w14:paraId="75F44A8E" w14:textId="77777777" w:rsidR="00F72849" w:rsidRPr="00641723" w:rsidRDefault="00F72849" w:rsidP="00F72849">
      <w:pPr>
        <w:pStyle w:val="ListParagraph"/>
        <w:numPr>
          <w:ilvl w:val="1"/>
          <w:numId w:val="20"/>
        </w:num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641723">
        <w:rPr>
          <w:rFonts w:cstheme="minorHAnsi"/>
          <w:b/>
          <w:bCs/>
          <w:iCs/>
          <w:sz w:val="24"/>
          <w:szCs w:val="24"/>
        </w:rPr>
        <w:lastRenderedPageBreak/>
        <w:t xml:space="preserve"> FINANCIJSKI PRIHODI</w:t>
      </w:r>
    </w:p>
    <w:p w14:paraId="37DD181B" w14:textId="77777777" w:rsidR="00F72849" w:rsidRPr="00641723" w:rsidRDefault="00F72849" w:rsidP="00F72849">
      <w:p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37F29AA7" w14:textId="37FBF6D0" w:rsidR="00F72849" w:rsidRPr="00085B4C" w:rsidRDefault="00F72849" w:rsidP="00163AD5">
      <w:pPr>
        <w:tabs>
          <w:tab w:val="left" w:pos="7798"/>
        </w:tabs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641723">
        <w:rPr>
          <w:rFonts w:cstheme="minorHAnsi"/>
          <w:bCs/>
          <w:iCs/>
          <w:sz w:val="24"/>
          <w:szCs w:val="24"/>
        </w:rPr>
        <w:t>Financijski prihodi obuhvaćaju:</w:t>
      </w:r>
      <w:r w:rsidR="00163AD5">
        <w:rPr>
          <w:rFonts w:cstheme="minorHAnsi"/>
          <w:bCs/>
          <w:iCs/>
          <w:sz w:val="24"/>
          <w:szCs w:val="24"/>
        </w:rPr>
        <w:tab/>
      </w:r>
    </w:p>
    <w:bookmarkStart w:id="22" w:name="_Hlk69988914"/>
    <w:bookmarkStart w:id="23" w:name="_MON_1647244842"/>
    <w:bookmarkEnd w:id="23"/>
    <w:p w14:paraId="7123C026" w14:textId="60365BCA" w:rsidR="00F72849" w:rsidRPr="00085B4C" w:rsidRDefault="00AF2E6C" w:rsidP="00F72849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object w:dxaOrig="7339" w:dyaOrig="2926" w14:anchorId="7607DB8B">
          <v:shape id="_x0000_i1026" type="#_x0000_t75" style="width:365.05pt;height:2in" o:ole="">
            <v:imagedata r:id="rId10" o:title=""/>
          </v:shape>
          <o:OLEObject Type="Embed" ProgID="Excel.Sheet.12" ShapeID="_x0000_i1026" DrawAspect="Content" ObjectID="_1778063307" r:id="rId11"/>
        </w:object>
      </w:r>
      <w:bookmarkEnd w:id="22"/>
    </w:p>
    <w:p w14:paraId="2CF977CF" w14:textId="77777777" w:rsidR="00F72849" w:rsidRDefault="00F72849" w:rsidP="00F72849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</w:p>
    <w:p w14:paraId="79760654" w14:textId="77777777" w:rsidR="00F72849" w:rsidRDefault="00F72849" w:rsidP="00F72849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</w:p>
    <w:p w14:paraId="3FDDC551" w14:textId="77777777" w:rsidR="00F72849" w:rsidRPr="00085B4C" w:rsidRDefault="00F72849" w:rsidP="00F72849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</w:p>
    <w:p w14:paraId="39E7978E" w14:textId="77777777" w:rsidR="00F72849" w:rsidRDefault="00F72849" w:rsidP="00F72849">
      <w:pPr>
        <w:pStyle w:val="ListParagraph"/>
        <w:numPr>
          <w:ilvl w:val="0"/>
          <w:numId w:val="20"/>
        </w:numPr>
        <w:spacing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r w:rsidRPr="00085B4C">
        <w:rPr>
          <w:rFonts w:cstheme="minorHAnsi"/>
          <w:b/>
          <w:iCs/>
          <w:sz w:val="24"/>
          <w:szCs w:val="24"/>
        </w:rPr>
        <w:t>RASHODI</w:t>
      </w:r>
    </w:p>
    <w:p w14:paraId="04AE0858" w14:textId="77777777" w:rsidR="00F72849" w:rsidRPr="00085B4C" w:rsidRDefault="00F72849" w:rsidP="00F72849">
      <w:pPr>
        <w:pStyle w:val="ListParagraph"/>
        <w:spacing w:after="0" w:line="240" w:lineRule="auto"/>
        <w:ind w:left="360" w:right="92"/>
        <w:jc w:val="both"/>
        <w:rPr>
          <w:rFonts w:cstheme="minorHAnsi"/>
          <w:b/>
          <w:iCs/>
          <w:sz w:val="24"/>
          <w:szCs w:val="24"/>
        </w:rPr>
      </w:pPr>
    </w:p>
    <w:p w14:paraId="2382BEB5" w14:textId="77777777" w:rsidR="00F72849" w:rsidRPr="00085B4C" w:rsidRDefault="00F72849" w:rsidP="00F72849">
      <w:pPr>
        <w:pStyle w:val="ListParagraph"/>
        <w:numPr>
          <w:ilvl w:val="1"/>
          <w:numId w:val="20"/>
        </w:numPr>
        <w:spacing w:before="240" w:after="0" w:line="240" w:lineRule="auto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 POSLOVNI RASHODI</w:t>
      </w:r>
    </w:p>
    <w:p w14:paraId="69DAFC12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3.1.1.</w:t>
      </w:r>
      <w:r w:rsidRPr="00085B4C">
        <w:rPr>
          <w:rFonts w:cstheme="minorHAnsi"/>
          <w:b/>
          <w:bCs/>
          <w:iCs/>
          <w:sz w:val="24"/>
          <w:szCs w:val="24"/>
        </w:rPr>
        <w:tab/>
        <w:t>MATERIJALNI TROŠKOVI</w:t>
      </w:r>
    </w:p>
    <w:p w14:paraId="110521F9" w14:textId="77777777" w:rsidR="00F72849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t>Materijalne troškove čine:</w:t>
      </w:r>
    </w:p>
    <w:p w14:paraId="0CF5025C" w14:textId="39FC38B6" w:rsidR="00F72849" w:rsidRPr="00085B4C" w:rsidRDefault="00000000" w:rsidP="00F72849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bookmarkStart w:id="24" w:name="_Hlk72317406"/>
      <w:r>
        <w:rPr>
          <w:rFonts w:cstheme="minorHAnsi"/>
          <w:bCs/>
          <w:iCs/>
          <w:noProof/>
          <w:sz w:val="24"/>
          <w:szCs w:val="24"/>
        </w:rPr>
        <w:object w:dxaOrig="1440" w:dyaOrig="1440" w14:anchorId="334BF9D3">
          <v:shape id="_x0000_s2064" type="#_x0000_t75" style="position:absolute;left:0;text-align:left;margin-left:0;margin-top:0;width:461.1pt;height:294.95pt;z-index:251662336;mso-position-horizontal:left;mso-position-horizontal-relative:text;mso-position-vertical-relative:text">
            <v:imagedata r:id="rId12" o:title=""/>
            <w10:wrap type="square" side="right"/>
          </v:shape>
          <o:OLEObject Type="Embed" ProgID="Excel.Sheet.12" ShapeID="_x0000_s2064" DrawAspect="Content" ObjectID="_1778063319" r:id="rId13"/>
        </w:object>
      </w:r>
      <w:bookmarkEnd w:id="24"/>
      <w:r w:rsidR="00AF2E6C">
        <w:rPr>
          <w:rFonts w:cstheme="minorHAnsi"/>
          <w:bCs/>
          <w:iCs/>
          <w:sz w:val="24"/>
          <w:szCs w:val="24"/>
        </w:rPr>
        <w:br w:type="textWrapping" w:clear="all"/>
      </w:r>
    </w:p>
    <w:p w14:paraId="2E68400A" w14:textId="468BDB93" w:rsidR="00F72849" w:rsidRPr="00791969" w:rsidRDefault="00F72849" w:rsidP="00F72849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bookmarkStart w:id="25" w:name="_MON_1647245191"/>
      <w:bookmarkEnd w:id="25"/>
      <w:r w:rsidRPr="00791969">
        <w:rPr>
          <w:rFonts w:cstheme="minorHAnsi"/>
          <w:bCs/>
          <w:iCs/>
          <w:sz w:val="24"/>
          <w:szCs w:val="24"/>
        </w:rPr>
        <w:t xml:space="preserve">Ukupni materijalni troškovi veći su odnosu na prethodnu godinu za </w:t>
      </w:r>
      <w:r w:rsidR="00791969" w:rsidRPr="00791969">
        <w:rPr>
          <w:rFonts w:cstheme="minorHAnsi"/>
          <w:bCs/>
          <w:iCs/>
          <w:sz w:val="24"/>
          <w:szCs w:val="24"/>
        </w:rPr>
        <w:t>11.649,12 eur</w:t>
      </w:r>
      <w:r w:rsidRPr="00791969">
        <w:rPr>
          <w:rFonts w:cstheme="minorHAnsi"/>
          <w:bCs/>
          <w:iCs/>
          <w:sz w:val="24"/>
          <w:szCs w:val="24"/>
        </w:rPr>
        <w:t xml:space="preserve"> (202</w:t>
      </w:r>
      <w:r w:rsidR="00C715E9" w:rsidRPr="00791969">
        <w:rPr>
          <w:rFonts w:cstheme="minorHAnsi"/>
          <w:bCs/>
          <w:iCs/>
          <w:sz w:val="24"/>
          <w:szCs w:val="24"/>
        </w:rPr>
        <w:t>2</w:t>
      </w:r>
      <w:r w:rsidRPr="00791969">
        <w:rPr>
          <w:rFonts w:cstheme="minorHAnsi"/>
          <w:bCs/>
          <w:iCs/>
          <w:sz w:val="24"/>
          <w:szCs w:val="24"/>
        </w:rPr>
        <w:t xml:space="preserve">.: </w:t>
      </w:r>
      <w:r w:rsidR="00E77C62" w:rsidRPr="00791969">
        <w:rPr>
          <w:rFonts w:cstheme="minorHAnsi"/>
          <w:bCs/>
          <w:iCs/>
          <w:sz w:val="24"/>
          <w:szCs w:val="24"/>
        </w:rPr>
        <w:t xml:space="preserve">za 536.905,89 eur </w:t>
      </w:r>
      <w:r w:rsidRPr="00791969">
        <w:rPr>
          <w:rFonts w:cstheme="minorHAnsi"/>
          <w:bCs/>
          <w:iCs/>
          <w:sz w:val="24"/>
          <w:szCs w:val="24"/>
        </w:rPr>
        <w:t xml:space="preserve">veći </w:t>
      </w:r>
      <w:r w:rsidR="00E77C62">
        <w:rPr>
          <w:rFonts w:cstheme="minorHAnsi"/>
          <w:bCs/>
          <w:iCs/>
          <w:sz w:val="24"/>
          <w:szCs w:val="24"/>
        </w:rPr>
        <w:t>od</w:t>
      </w:r>
      <w:r w:rsidRPr="00791969">
        <w:rPr>
          <w:rFonts w:cstheme="minorHAnsi"/>
          <w:bCs/>
          <w:iCs/>
          <w:sz w:val="24"/>
          <w:szCs w:val="24"/>
        </w:rPr>
        <w:t xml:space="preserve"> 202</w:t>
      </w:r>
      <w:r w:rsidR="00C715E9" w:rsidRPr="00791969">
        <w:rPr>
          <w:rFonts w:cstheme="minorHAnsi"/>
          <w:bCs/>
          <w:iCs/>
          <w:sz w:val="24"/>
          <w:szCs w:val="24"/>
        </w:rPr>
        <w:t>1</w:t>
      </w:r>
      <w:r w:rsidRPr="00791969">
        <w:rPr>
          <w:rFonts w:cstheme="minorHAnsi"/>
          <w:bCs/>
          <w:iCs/>
          <w:sz w:val="24"/>
          <w:szCs w:val="24"/>
        </w:rPr>
        <w:t>.), a značajnije vrste troškova su:</w:t>
      </w:r>
    </w:p>
    <w:p w14:paraId="706D9772" w14:textId="11DB36A3" w:rsidR="00F72849" w:rsidRPr="00791969" w:rsidRDefault="00F72849" w:rsidP="00F72849">
      <w:pPr>
        <w:spacing w:before="240" w:after="0" w:line="240" w:lineRule="auto"/>
        <w:ind w:right="91"/>
        <w:jc w:val="both"/>
        <w:rPr>
          <w:rFonts w:eastAsia="Calibri" w:cstheme="minorHAnsi"/>
          <w:bCs/>
          <w:iCs/>
          <w:sz w:val="24"/>
          <w:szCs w:val="24"/>
        </w:rPr>
      </w:pPr>
      <w:bookmarkStart w:id="26" w:name="_Hlk164923754"/>
      <w:r w:rsidRPr="00791969">
        <w:rPr>
          <w:rFonts w:cstheme="minorHAnsi"/>
          <w:b/>
          <w:bCs/>
          <w:iCs/>
          <w:sz w:val="24"/>
          <w:szCs w:val="24"/>
        </w:rPr>
        <w:lastRenderedPageBreak/>
        <w:t>/i/</w:t>
      </w:r>
      <w:r w:rsidRPr="00791969">
        <w:rPr>
          <w:rFonts w:cstheme="minorHAnsi"/>
          <w:b/>
          <w:bCs/>
          <w:iCs/>
          <w:sz w:val="24"/>
          <w:szCs w:val="24"/>
        </w:rPr>
        <w:tab/>
      </w:r>
      <w:r w:rsidRPr="00791969">
        <w:rPr>
          <w:rFonts w:cstheme="minorHAnsi"/>
          <w:bCs/>
          <w:iCs/>
          <w:sz w:val="24"/>
          <w:szCs w:val="24"/>
        </w:rPr>
        <w:t>U 202</w:t>
      </w:r>
      <w:r w:rsidR="00791969" w:rsidRPr="00791969">
        <w:rPr>
          <w:rFonts w:cstheme="minorHAnsi"/>
          <w:bCs/>
          <w:iCs/>
          <w:sz w:val="24"/>
          <w:szCs w:val="24"/>
        </w:rPr>
        <w:t>3</w:t>
      </w:r>
      <w:r w:rsidRPr="00791969">
        <w:rPr>
          <w:rFonts w:cstheme="minorHAnsi"/>
          <w:bCs/>
          <w:iCs/>
          <w:sz w:val="24"/>
          <w:szCs w:val="24"/>
        </w:rPr>
        <w:t xml:space="preserve">. godini </w:t>
      </w:r>
      <w:r w:rsidRPr="00791969">
        <w:rPr>
          <w:rFonts w:eastAsia="Calibri" w:cstheme="minorHAnsi"/>
          <w:bCs/>
          <w:iCs/>
          <w:sz w:val="24"/>
          <w:szCs w:val="24"/>
        </w:rPr>
        <w:t xml:space="preserve">troškovi </w:t>
      </w:r>
      <w:r w:rsidR="00791969" w:rsidRPr="00791969">
        <w:rPr>
          <w:rFonts w:eastAsia="Calibri" w:cstheme="minorHAnsi"/>
          <w:bCs/>
          <w:iCs/>
          <w:sz w:val="24"/>
          <w:szCs w:val="24"/>
        </w:rPr>
        <w:t>energije, goriva i maziva</w:t>
      </w:r>
      <w:r w:rsidRPr="00791969">
        <w:rPr>
          <w:rFonts w:eastAsia="Calibri" w:cstheme="minorHAnsi"/>
          <w:bCs/>
          <w:iCs/>
          <w:sz w:val="24"/>
          <w:szCs w:val="24"/>
        </w:rPr>
        <w:t xml:space="preserve"> manji su </w:t>
      </w:r>
      <w:r w:rsidR="00791969">
        <w:rPr>
          <w:rFonts w:eastAsia="Calibri" w:cstheme="minorHAnsi"/>
          <w:bCs/>
          <w:iCs/>
          <w:sz w:val="24"/>
          <w:szCs w:val="24"/>
        </w:rPr>
        <w:t xml:space="preserve">od prošlogodišnjih </w:t>
      </w:r>
      <w:r w:rsidRPr="00791969">
        <w:rPr>
          <w:rFonts w:eastAsia="Calibri" w:cstheme="minorHAnsi"/>
          <w:bCs/>
          <w:iCs/>
          <w:sz w:val="24"/>
          <w:szCs w:val="24"/>
        </w:rPr>
        <w:t xml:space="preserve">za </w:t>
      </w:r>
      <w:r w:rsidR="00791969">
        <w:rPr>
          <w:rFonts w:eastAsia="Calibri" w:cstheme="minorHAnsi"/>
          <w:bCs/>
          <w:iCs/>
          <w:sz w:val="24"/>
          <w:szCs w:val="24"/>
        </w:rPr>
        <w:t>66.017,01 eur</w:t>
      </w:r>
      <w:r w:rsidRPr="00791969">
        <w:rPr>
          <w:rFonts w:eastAsia="Calibri" w:cstheme="minorHAnsi"/>
          <w:bCs/>
          <w:iCs/>
          <w:sz w:val="24"/>
          <w:szCs w:val="24"/>
        </w:rPr>
        <w:t xml:space="preserve"> prije svega </w:t>
      </w:r>
      <w:r w:rsidRPr="00130EA7">
        <w:rPr>
          <w:rFonts w:eastAsia="Calibri" w:cstheme="minorHAnsi"/>
          <w:bCs/>
          <w:iCs/>
          <w:sz w:val="24"/>
          <w:szCs w:val="24"/>
        </w:rPr>
        <w:t>zbog</w:t>
      </w:r>
      <w:r w:rsidR="0023671F" w:rsidRPr="00130EA7">
        <w:rPr>
          <w:rFonts w:eastAsia="Calibri" w:cstheme="minorHAnsi"/>
          <w:bCs/>
          <w:iCs/>
          <w:sz w:val="24"/>
          <w:szCs w:val="24"/>
        </w:rPr>
        <w:t xml:space="preserve"> manje potrošnje dizel goriva</w:t>
      </w:r>
      <w:r w:rsidR="00130EA7">
        <w:rPr>
          <w:rFonts w:eastAsia="Calibri" w:cstheme="minorHAnsi"/>
          <w:bCs/>
          <w:iCs/>
          <w:sz w:val="24"/>
          <w:szCs w:val="24"/>
        </w:rPr>
        <w:t xml:space="preserve"> (u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 xml:space="preserve"> 2022</w:t>
      </w:r>
      <w:r w:rsidR="00130EA7">
        <w:rPr>
          <w:rFonts w:eastAsia="Calibri" w:cstheme="minorHAnsi"/>
          <w:bCs/>
          <w:iCs/>
          <w:sz w:val="24"/>
          <w:szCs w:val="24"/>
        </w:rPr>
        <w:t>. godini Društvo je  d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>robil</w:t>
      </w:r>
      <w:r w:rsidR="00130EA7">
        <w:rPr>
          <w:rFonts w:eastAsia="Calibri" w:cstheme="minorHAnsi"/>
          <w:bCs/>
          <w:iCs/>
          <w:sz w:val="24"/>
          <w:szCs w:val="24"/>
        </w:rPr>
        <w:t>o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 xml:space="preserve"> dio </w:t>
      </w:r>
      <w:r w:rsidR="00130EA7">
        <w:rPr>
          <w:rFonts w:eastAsia="Calibri" w:cstheme="minorHAnsi"/>
          <w:bCs/>
          <w:iCs/>
          <w:sz w:val="24"/>
          <w:szCs w:val="24"/>
        </w:rPr>
        <w:t xml:space="preserve">prikupljenog 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>zelenila svojom drobilicom</w:t>
      </w:r>
      <w:r w:rsidR="00130EA7">
        <w:rPr>
          <w:rFonts w:eastAsia="Calibri" w:cstheme="minorHAnsi"/>
          <w:bCs/>
          <w:iCs/>
          <w:sz w:val="24"/>
          <w:szCs w:val="24"/>
        </w:rPr>
        <w:t xml:space="preserve"> dok 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>u 2023</w:t>
      </w:r>
      <w:r w:rsidR="00130EA7">
        <w:rPr>
          <w:rFonts w:eastAsia="Calibri" w:cstheme="minorHAnsi"/>
          <w:bCs/>
          <w:iCs/>
          <w:sz w:val="24"/>
          <w:szCs w:val="24"/>
        </w:rPr>
        <w:t>. godini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 xml:space="preserve"> toga nije bilo</w:t>
      </w:r>
      <w:r w:rsidR="00130EA7">
        <w:rPr>
          <w:rFonts w:eastAsia="Calibri" w:cstheme="minorHAnsi"/>
          <w:bCs/>
          <w:iCs/>
          <w:sz w:val="24"/>
          <w:szCs w:val="24"/>
        </w:rPr>
        <w:t>)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>.</w:t>
      </w:r>
      <w:r w:rsidR="00130EA7">
        <w:rPr>
          <w:rFonts w:eastAsia="Calibri" w:cstheme="minorHAnsi"/>
          <w:bCs/>
          <w:iCs/>
          <w:sz w:val="24"/>
          <w:szCs w:val="24"/>
        </w:rPr>
        <w:t xml:space="preserve"> Društvo </w:t>
      </w:r>
      <w:r w:rsidR="005D6133">
        <w:rPr>
          <w:rFonts w:eastAsia="Calibri" w:cstheme="minorHAnsi"/>
          <w:bCs/>
          <w:iCs/>
          <w:sz w:val="24"/>
          <w:szCs w:val="24"/>
        </w:rPr>
        <w:t xml:space="preserve">je 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>nastav</w:t>
      </w:r>
      <w:r w:rsidR="00130EA7">
        <w:rPr>
          <w:rFonts w:eastAsia="Calibri" w:cstheme="minorHAnsi"/>
          <w:bCs/>
          <w:iCs/>
          <w:sz w:val="24"/>
          <w:szCs w:val="24"/>
        </w:rPr>
        <w:t xml:space="preserve">ilo 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>s optimizacijom voznog parka (zimsko/ljetni režimi)</w:t>
      </w:r>
      <w:r w:rsidR="00130EA7">
        <w:rPr>
          <w:rFonts w:eastAsia="Calibri" w:cstheme="minorHAnsi"/>
          <w:bCs/>
          <w:iCs/>
          <w:sz w:val="24"/>
          <w:szCs w:val="24"/>
        </w:rPr>
        <w:t xml:space="preserve"> što se</w:t>
      </w:r>
      <w:r w:rsidR="005D6133">
        <w:rPr>
          <w:rFonts w:eastAsia="Calibri" w:cstheme="minorHAnsi"/>
          <w:bCs/>
          <w:iCs/>
          <w:sz w:val="24"/>
          <w:szCs w:val="24"/>
        </w:rPr>
        <w:t xml:space="preserve"> </w:t>
      </w:r>
      <w:r w:rsidR="00130EA7">
        <w:rPr>
          <w:rFonts w:eastAsia="Calibri" w:cstheme="minorHAnsi"/>
          <w:bCs/>
          <w:iCs/>
          <w:sz w:val="24"/>
          <w:szCs w:val="24"/>
        </w:rPr>
        <w:t>odrazilo na potrošnju goriva.</w:t>
      </w:r>
    </w:p>
    <w:p w14:paraId="03B2A842" w14:textId="06B98E06" w:rsidR="00130EA7" w:rsidRPr="00791969" w:rsidRDefault="00C170D8" w:rsidP="00C170D8">
      <w:pPr>
        <w:spacing w:before="240" w:after="0" w:line="240" w:lineRule="auto"/>
        <w:ind w:right="91"/>
        <w:jc w:val="both"/>
        <w:rPr>
          <w:rFonts w:eastAsia="Calibri" w:cstheme="minorHAnsi"/>
          <w:bCs/>
          <w:iCs/>
          <w:sz w:val="24"/>
          <w:szCs w:val="24"/>
        </w:rPr>
      </w:pPr>
      <w:r w:rsidRPr="00130EA7">
        <w:rPr>
          <w:rFonts w:cstheme="minorHAnsi"/>
          <w:b/>
          <w:bCs/>
          <w:iCs/>
          <w:sz w:val="24"/>
          <w:szCs w:val="24"/>
        </w:rPr>
        <w:t>/ii/</w:t>
      </w:r>
      <w:r w:rsidRPr="00130EA7">
        <w:rPr>
          <w:rFonts w:cstheme="minorHAnsi"/>
          <w:b/>
          <w:bCs/>
          <w:iCs/>
          <w:sz w:val="24"/>
          <w:szCs w:val="24"/>
        </w:rPr>
        <w:tab/>
      </w:r>
      <w:r w:rsidRPr="00130EA7">
        <w:rPr>
          <w:rFonts w:cstheme="minorHAnsi"/>
          <w:bCs/>
          <w:iCs/>
          <w:sz w:val="24"/>
          <w:szCs w:val="24"/>
        </w:rPr>
        <w:t xml:space="preserve">Trošak usluga održavanja iznosi 383.479,88 eur i veći je za 131.699,76 eur </w:t>
      </w:r>
      <w:r w:rsidR="00DA5AE7" w:rsidRPr="00130EA7">
        <w:rPr>
          <w:rFonts w:eastAsia="Calibri" w:cstheme="minorHAnsi"/>
          <w:bCs/>
          <w:iCs/>
          <w:sz w:val="24"/>
          <w:szCs w:val="24"/>
        </w:rPr>
        <w:t>zbog digitalne evidencije prikupljana otpada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>,</w:t>
      </w:r>
      <w:r w:rsidR="00DA5AE7" w:rsidRPr="00130EA7">
        <w:rPr>
          <w:rFonts w:eastAsia="Calibri" w:cstheme="minorHAnsi"/>
          <w:bCs/>
          <w:iCs/>
          <w:sz w:val="24"/>
          <w:szCs w:val="24"/>
        </w:rPr>
        <w:t xml:space="preserve"> 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>uređenja na posebnim sabirnim mjestima / reciklažnim dvorištima</w:t>
      </w:r>
      <w:r w:rsidR="00130EA7">
        <w:rPr>
          <w:rFonts w:eastAsia="Calibri" w:cstheme="minorHAnsi"/>
          <w:bCs/>
          <w:iCs/>
          <w:sz w:val="24"/>
          <w:szCs w:val="24"/>
        </w:rPr>
        <w:t xml:space="preserve"> te</w:t>
      </w:r>
      <w:r w:rsidR="00130EA7" w:rsidRPr="00130EA7">
        <w:rPr>
          <w:rFonts w:eastAsia="Calibri" w:cstheme="minorHAnsi"/>
          <w:bCs/>
          <w:iCs/>
          <w:sz w:val="24"/>
          <w:szCs w:val="24"/>
        </w:rPr>
        <w:t xml:space="preserve"> pojačanog održavanja sortirnice i kompostane.</w:t>
      </w:r>
    </w:p>
    <w:p w14:paraId="3757EC1F" w14:textId="2A2A48E3" w:rsidR="00F72849" w:rsidRPr="00085B4C" w:rsidRDefault="00F72849" w:rsidP="00F72849">
      <w:pPr>
        <w:spacing w:before="240" w:after="0" w:line="240" w:lineRule="auto"/>
        <w:ind w:right="91"/>
        <w:jc w:val="both"/>
        <w:rPr>
          <w:rFonts w:eastAsia="Calibri" w:cstheme="minorHAnsi"/>
          <w:b/>
          <w:iCs/>
          <w:sz w:val="24"/>
          <w:szCs w:val="24"/>
        </w:rPr>
      </w:pPr>
      <w:r w:rsidRPr="00791969">
        <w:rPr>
          <w:rFonts w:eastAsia="Calibri" w:cstheme="minorHAnsi"/>
          <w:b/>
          <w:iCs/>
          <w:sz w:val="24"/>
          <w:szCs w:val="24"/>
        </w:rPr>
        <w:t>/ii</w:t>
      </w:r>
      <w:r w:rsidR="00C170D8">
        <w:rPr>
          <w:rFonts w:eastAsia="Calibri" w:cstheme="minorHAnsi"/>
          <w:b/>
          <w:iCs/>
          <w:sz w:val="24"/>
          <w:szCs w:val="24"/>
        </w:rPr>
        <w:t>i</w:t>
      </w:r>
      <w:r w:rsidRPr="00791969">
        <w:rPr>
          <w:rFonts w:eastAsia="Calibri" w:cstheme="minorHAnsi"/>
          <w:b/>
          <w:iCs/>
          <w:sz w:val="24"/>
          <w:szCs w:val="24"/>
        </w:rPr>
        <w:t>/</w:t>
      </w:r>
      <w:r w:rsidRPr="00791969">
        <w:rPr>
          <w:rFonts w:eastAsia="Calibri" w:cstheme="minorHAnsi"/>
          <w:b/>
          <w:iCs/>
          <w:sz w:val="24"/>
          <w:szCs w:val="24"/>
        </w:rPr>
        <w:tab/>
      </w:r>
      <w:r w:rsidRPr="00791969">
        <w:rPr>
          <w:rFonts w:eastAsia="Calibri" w:cstheme="minorHAnsi"/>
          <w:bCs/>
          <w:iCs/>
          <w:sz w:val="24"/>
          <w:szCs w:val="24"/>
        </w:rPr>
        <w:t xml:space="preserve">Iskazani troškovi vezani uz EU projekte odnose se na troškove vanjskih usluga kao što </w:t>
      </w:r>
      <w:r w:rsidRPr="00085B4C">
        <w:rPr>
          <w:rFonts w:eastAsia="Calibri" w:cstheme="minorHAnsi"/>
          <w:bCs/>
          <w:iCs/>
          <w:sz w:val="24"/>
          <w:szCs w:val="24"/>
        </w:rPr>
        <w:t>je vođenje i administriranje projektima i slično. Dio tih troškova pokriven je prihodima (Bilješka 2.1.)</w:t>
      </w:r>
    </w:p>
    <w:p w14:paraId="430A36E8" w14:textId="4BF7AFA4" w:rsidR="00F72849" w:rsidRPr="00085B4C" w:rsidRDefault="00F72849" w:rsidP="00F72849">
      <w:pPr>
        <w:spacing w:before="240" w:after="0" w:line="240" w:lineRule="auto"/>
        <w:ind w:right="91"/>
        <w:jc w:val="both"/>
        <w:rPr>
          <w:rFonts w:cstheme="minorHAnsi"/>
          <w:sz w:val="24"/>
          <w:szCs w:val="24"/>
        </w:rPr>
      </w:pPr>
      <w:r w:rsidRPr="00C170D8">
        <w:rPr>
          <w:rFonts w:cstheme="minorHAnsi"/>
          <w:b/>
          <w:bCs/>
          <w:sz w:val="24"/>
          <w:szCs w:val="24"/>
        </w:rPr>
        <w:t>/i</w:t>
      </w:r>
      <w:r w:rsidR="0023671F" w:rsidRPr="00C170D8">
        <w:rPr>
          <w:rFonts w:cstheme="minorHAnsi"/>
          <w:b/>
          <w:bCs/>
          <w:sz w:val="24"/>
          <w:szCs w:val="24"/>
        </w:rPr>
        <w:t>v</w:t>
      </w:r>
      <w:r w:rsidRPr="00C170D8">
        <w:rPr>
          <w:rFonts w:cstheme="minorHAnsi"/>
          <w:b/>
          <w:bCs/>
          <w:sz w:val="24"/>
          <w:szCs w:val="24"/>
        </w:rPr>
        <w:t>/</w:t>
      </w:r>
      <w:r w:rsidRPr="00C170D8">
        <w:rPr>
          <w:rFonts w:cstheme="minorHAnsi"/>
          <w:sz w:val="24"/>
          <w:szCs w:val="24"/>
        </w:rPr>
        <w:tab/>
      </w:r>
      <w:bookmarkStart w:id="27" w:name="_Hlk98871142"/>
      <w:r w:rsidRPr="00C170D8">
        <w:rPr>
          <w:rFonts w:cstheme="minorHAnsi"/>
          <w:sz w:val="24"/>
          <w:szCs w:val="24"/>
        </w:rPr>
        <w:t>U 202</w:t>
      </w:r>
      <w:r w:rsidR="004803D8" w:rsidRPr="00C170D8">
        <w:rPr>
          <w:rFonts w:cstheme="minorHAnsi"/>
          <w:sz w:val="24"/>
          <w:szCs w:val="24"/>
        </w:rPr>
        <w:t>3</w:t>
      </w:r>
      <w:r w:rsidRPr="00C170D8">
        <w:rPr>
          <w:rFonts w:cstheme="minorHAnsi"/>
          <w:sz w:val="24"/>
          <w:szCs w:val="24"/>
        </w:rPr>
        <w:t xml:space="preserve">. godini zbrinuto je </w:t>
      </w:r>
      <w:r w:rsidR="00CF35C7" w:rsidRPr="00C170D8">
        <w:rPr>
          <w:rFonts w:cstheme="minorHAnsi"/>
          <w:sz w:val="24"/>
          <w:szCs w:val="24"/>
        </w:rPr>
        <w:t xml:space="preserve">3.832 tone </w:t>
      </w:r>
      <w:r w:rsidRPr="00C170D8">
        <w:rPr>
          <w:rFonts w:cstheme="minorHAnsi"/>
          <w:sz w:val="24"/>
          <w:szCs w:val="24"/>
        </w:rPr>
        <w:t>(202</w:t>
      </w:r>
      <w:r w:rsidR="004803D8" w:rsidRPr="00C170D8">
        <w:rPr>
          <w:rFonts w:cstheme="minorHAnsi"/>
          <w:sz w:val="24"/>
          <w:szCs w:val="24"/>
        </w:rPr>
        <w:t>2</w:t>
      </w:r>
      <w:r w:rsidRPr="00C170D8">
        <w:rPr>
          <w:rFonts w:cstheme="minorHAnsi"/>
          <w:sz w:val="24"/>
          <w:szCs w:val="24"/>
        </w:rPr>
        <w:t xml:space="preserve">.: </w:t>
      </w:r>
      <w:r w:rsidR="0064295B" w:rsidRPr="00C170D8">
        <w:rPr>
          <w:rFonts w:cstheme="minorHAnsi"/>
          <w:sz w:val="24"/>
          <w:szCs w:val="24"/>
        </w:rPr>
        <w:t>5.793</w:t>
      </w:r>
      <w:r w:rsidRPr="00C170D8">
        <w:rPr>
          <w:rFonts w:cstheme="minorHAnsi"/>
          <w:sz w:val="24"/>
          <w:szCs w:val="24"/>
        </w:rPr>
        <w:t xml:space="preserve"> tona) miješanog komunalnog</w:t>
      </w:r>
      <w:r w:rsidRPr="00CC0F69">
        <w:rPr>
          <w:rFonts w:cstheme="minorHAnsi"/>
          <w:sz w:val="24"/>
          <w:szCs w:val="24"/>
        </w:rPr>
        <w:t xml:space="preserve"> otpada u Županijsk</w:t>
      </w:r>
      <w:r w:rsidR="008A5C13">
        <w:rPr>
          <w:rFonts w:cstheme="minorHAnsi"/>
          <w:sz w:val="24"/>
          <w:szCs w:val="24"/>
        </w:rPr>
        <w:t>om</w:t>
      </w:r>
      <w:r w:rsidRPr="00CC0F69">
        <w:rPr>
          <w:rFonts w:cstheme="minorHAnsi"/>
          <w:sz w:val="24"/>
          <w:szCs w:val="24"/>
        </w:rPr>
        <w:t xml:space="preserve"> cent</w:t>
      </w:r>
      <w:r w:rsidR="008A5C13">
        <w:rPr>
          <w:rFonts w:cstheme="minorHAnsi"/>
          <w:sz w:val="24"/>
          <w:szCs w:val="24"/>
        </w:rPr>
        <w:t>ru</w:t>
      </w:r>
      <w:r w:rsidRPr="00CC0F69">
        <w:rPr>
          <w:rFonts w:cstheme="minorHAnsi"/>
          <w:sz w:val="24"/>
          <w:szCs w:val="24"/>
        </w:rPr>
        <w:t xml:space="preserve"> za gospodarenje</w:t>
      </w:r>
      <w:r w:rsidRPr="00085B4C">
        <w:rPr>
          <w:rFonts w:cstheme="minorHAnsi"/>
          <w:sz w:val="24"/>
          <w:szCs w:val="24"/>
        </w:rPr>
        <w:t xml:space="preserve"> otpadom Marišćina</w:t>
      </w:r>
      <w:r w:rsidR="00130EA7">
        <w:rPr>
          <w:rFonts w:cstheme="minorHAnsi"/>
          <w:sz w:val="24"/>
          <w:szCs w:val="24"/>
        </w:rPr>
        <w:t>,</w:t>
      </w:r>
      <w:r w:rsidR="00130EA7" w:rsidRPr="00130EA7">
        <w:t xml:space="preserve"> </w:t>
      </w:r>
      <w:r w:rsidR="00130EA7" w:rsidRPr="00130EA7">
        <w:rPr>
          <w:rFonts w:cstheme="minorHAnsi"/>
          <w:sz w:val="24"/>
          <w:szCs w:val="24"/>
        </w:rPr>
        <w:t>a razlog smanjenja su operativno tehnički problemi prihvata otpada u CGO Marišćina. Jedinična cijena zbrinjavanja komunalnog otpada se nije mijenjala.</w:t>
      </w:r>
      <w:r w:rsidR="00C170D8">
        <w:rPr>
          <w:rFonts w:cstheme="minorHAnsi"/>
          <w:sz w:val="24"/>
          <w:szCs w:val="24"/>
        </w:rPr>
        <w:t xml:space="preserve"> </w:t>
      </w:r>
    </w:p>
    <w:bookmarkEnd w:id="26"/>
    <w:bookmarkEnd w:id="27"/>
    <w:p w14:paraId="79E92D5B" w14:textId="2C939AF4" w:rsidR="00F72849" w:rsidRPr="00CC0F69" w:rsidRDefault="00F72849" w:rsidP="00F72849">
      <w:pPr>
        <w:spacing w:before="240" w:after="0" w:line="240" w:lineRule="auto"/>
        <w:ind w:right="91"/>
        <w:jc w:val="both"/>
        <w:rPr>
          <w:rFonts w:cstheme="minorHAnsi"/>
          <w:bCs/>
          <w:iCs/>
          <w:sz w:val="24"/>
          <w:szCs w:val="24"/>
        </w:rPr>
      </w:pPr>
      <w:r w:rsidRPr="0023671F">
        <w:rPr>
          <w:rFonts w:cstheme="minorHAnsi"/>
          <w:b/>
          <w:bCs/>
          <w:iCs/>
          <w:sz w:val="24"/>
          <w:szCs w:val="24"/>
        </w:rPr>
        <w:t>/v/</w:t>
      </w:r>
      <w:r w:rsidRPr="0023671F">
        <w:rPr>
          <w:rFonts w:cstheme="minorHAnsi"/>
          <w:b/>
          <w:bCs/>
          <w:iCs/>
          <w:sz w:val="24"/>
          <w:szCs w:val="24"/>
        </w:rPr>
        <w:tab/>
      </w:r>
      <w:r w:rsidRPr="0023671F">
        <w:rPr>
          <w:rFonts w:cstheme="minorHAnsi"/>
          <w:bCs/>
          <w:iCs/>
          <w:sz w:val="24"/>
          <w:szCs w:val="24"/>
        </w:rPr>
        <w:t xml:space="preserve">Društvo je ugovorom povjerilo knjigovodstvene poslove, poslove objedinjene naplate i druge povezane administrativne poslove društvu PONIKVE USLUGA d.o.o. te je za te usluge iskazalo troškove </w:t>
      </w:r>
      <w:bookmarkStart w:id="28" w:name="_Hlk136597584"/>
      <w:r w:rsidRPr="0023671F">
        <w:rPr>
          <w:rFonts w:cstheme="minorHAnsi"/>
          <w:bCs/>
          <w:iCs/>
          <w:sz w:val="24"/>
          <w:szCs w:val="24"/>
        </w:rPr>
        <w:t xml:space="preserve">od </w:t>
      </w:r>
      <w:r w:rsidR="0064295B" w:rsidRPr="0023671F">
        <w:rPr>
          <w:rFonts w:cstheme="minorHAnsi"/>
          <w:bCs/>
          <w:iCs/>
          <w:sz w:val="24"/>
          <w:szCs w:val="24"/>
        </w:rPr>
        <w:t>339.901,67 eur</w:t>
      </w:r>
      <w:r w:rsidRPr="0023671F">
        <w:rPr>
          <w:rFonts w:cstheme="minorHAnsi"/>
          <w:bCs/>
          <w:iCs/>
          <w:sz w:val="24"/>
          <w:szCs w:val="24"/>
        </w:rPr>
        <w:t xml:space="preserve"> (202</w:t>
      </w:r>
      <w:r w:rsidR="0064295B" w:rsidRPr="0023671F">
        <w:rPr>
          <w:rFonts w:cstheme="minorHAnsi"/>
          <w:bCs/>
          <w:iCs/>
          <w:sz w:val="24"/>
          <w:szCs w:val="24"/>
        </w:rPr>
        <w:t>2</w:t>
      </w:r>
      <w:r w:rsidRPr="0023671F">
        <w:rPr>
          <w:rFonts w:cstheme="minorHAnsi"/>
          <w:bCs/>
          <w:iCs/>
          <w:sz w:val="24"/>
          <w:szCs w:val="24"/>
        </w:rPr>
        <w:t xml:space="preserve">.: </w:t>
      </w:r>
      <w:r w:rsidR="0064295B" w:rsidRPr="0023671F">
        <w:rPr>
          <w:rFonts w:cstheme="minorHAnsi"/>
          <w:bCs/>
          <w:iCs/>
          <w:sz w:val="24"/>
          <w:szCs w:val="24"/>
        </w:rPr>
        <w:t>321.210,27 eur</w:t>
      </w:r>
      <w:r w:rsidRPr="0023671F">
        <w:rPr>
          <w:rFonts w:cstheme="minorHAnsi"/>
          <w:bCs/>
          <w:iCs/>
          <w:sz w:val="24"/>
          <w:szCs w:val="24"/>
        </w:rPr>
        <w:t>).</w:t>
      </w:r>
    </w:p>
    <w:bookmarkEnd w:id="28"/>
    <w:p w14:paraId="04E28E04" w14:textId="585F0F4F" w:rsidR="0064295B" w:rsidRPr="00994700" w:rsidRDefault="00F72849" w:rsidP="0023671F">
      <w:pPr>
        <w:shd w:val="clear" w:color="auto" w:fill="FFFFFF" w:themeFill="background1"/>
        <w:spacing w:before="240" w:after="0" w:line="240" w:lineRule="auto"/>
        <w:ind w:right="91"/>
        <w:jc w:val="both"/>
        <w:rPr>
          <w:rFonts w:cstheme="minorHAnsi"/>
          <w:bCs/>
          <w:iCs/>
          <w:sz w:val="24"/>
          <w:szCs w:val="24"/>
        </w:rPr>
      </w:pPr>
      <w:r w:rsidRPr="0023671F">
        <w:rPr>
          <w:rFonts w:cstheme="minorHAnsi"/>
          <w:b/>
          <w:iCs/>
          <w:sz w:val="24"/>
          <w:szCs w:val="24"/>
        </w:rPr>
        <w:t>/v</w:t>
      </w:r>
      <w:r w:rsidR="0023671F" w:rsidRPr="0023671F">
        <w:rPr>
          <w:rFonts w:cstheme="minorHAnsi"/>
          <w:b/>
          <w:iCs/>
          <w:sz w:val="24"/>
          <w:szCs w:val="24"/>
        </w:rPr>
        <w:t>i</w:t>
      </w:r>
      <w:r w:rsidRPr="0023671F">
        <w:rPr>
          <w:rFonts w:cstheme="minorHAnsi"/>
          <w:b/>
          <w:iCs/>
          <w:sz w:val="24"/>
          <w:szCs w:val="24"/>
        </w:rPr>
        <w:t>/</w:t>
      </w:r>
      <w:r w:rsidRPr="0023671F">
        <w:rPr>
          <w:rFonts w:cstheme="minorHAnsi"/>
          <w:b/>
          <w:iCs/>
          <w:sz w:val="24"/>
          <w:szCs w:val="24"/>
        </w:rPr>
        <w:tab/>
      </w:r>
      <w:r w:rsidR="00994700" w:rsidRPr="0023671F">
        <w:rPr>
          <w:rFonts w:cstheme="minorHAnsi"/>
          <w:bCs/>
          <w:iCs/>
          <w:sz w:val="24"/>
          <w:szCs w:val="24"/>
        </w:rPr>
        <w:t>U</w:t>
      </w:r>
      <w:r w:rsidR="0064295B" w:rsidRPr="0023671F">
        <w:rPr>
          <w:rFonts w:cstheme="minorHAnsi"/>
          <w:bCs/>
          <w:iCs/>
          <w:sz w:val="24"/>
          <w:szCs w:val="24"/>
        </w:rPr>
        <w:t xml:space="preserve"> 2023. godini trošak zbrinjavanja glomaznog otpada iznosio je 168.591,33 eur. </w:t>
      </w:r>
      <w:r w:rsidR="0023671F" w:rsidRPr="0023671F">
        <w:rPr>
          <w:rFonts w:cstheme="minorHAnsi"/>
          <w:bCs/>
          <w:iCs/>
          <w:sz w:val="24"/>
          <w:szCs w:val="24"/>
        </w:rPr>
        <w:t xml:space="preserve"> U odnosu na 2022. godinu t</w:t>
      </w:r>
      <w:r w:rsidR="00994700" w:rsidRPr="0023671F">
        <w:rPr>
          <w:rFonts w:cstheme="minorHAnsi"/>
          <w:bCs/>
          <w:iCs/>
          <w:sz w:val="24"/>
          <w:szCs w:val="24"/>
        </w:rPr>
        <w:t>rošak je veći za 134.935,08 eur</w:t>
      </w:r>
      <w:r w:rsidR="0023671F" w:rsidRPr="0023671F">
        <w:rPr>
          <w:rFonts w:cstheme="minorHAnsi"/>
          <w:bCs/>
          <w:iCs/>
          <w:sz w:val="24"/>
          <w:szCs w:val="24"/>
        </w:rPr>
        <w:t xml:space="preserve">. Usluga odvoza glomaznog otpada započela je </w:t>
      </w:r>
      <w:r w:rsidR="00994700" w:rsidRPr="0023671F">
        <w:rPr>
          <w:rFonts w:cstheme="minorHAnsi"/>
          <w:bCs/>
          <w:iCs/>
          <w:sz w:val="24"/>
          <w:szCs w:val="24"/>
        </w:rPr>
        <w:t xml:space="preserve">krajem 2022. </w:t>
      </w:r>
      <w:r w:rsidR="0023671F" w:rsidRPr="0023671F">
        <w:rPr>
          <w:rFonts w:cstheme="minorHAnsi"/>
          <w:bCs/>
          <w:iCs/>
          <w:sz w:val="24"/>
          <w:szCs w:val="24"/>
        </w:rPr>
        <w:t xml:space="preserve">godine, a u rujnu 2023. godine potpisan je novi ugovor s </w:t>
      </w:r>
      <w:r w:rsidR="00994700" w:rsidRPr="0023671F">
        <w:rPr>
          <w:rFonts w:cstheme="minorHAnsi"/>
          <w:bCs/>
          <w:iCs/>
          <w:sz w:val="24"/>
          <w:szCs w:val="24"/>
        </w:rPr>
        <w:t>uvećan</w:t>
      </w:r>
      <w:r w:rsidR="0023671F" w:rsidRPr="0023671F">
        <w:rPr>
          <w:rFonts w:cstheme="minorHAnsi"/>
          <w:bCs/>
          <w:iCs/>
          <w:sz w:val="24"/>
          <w:szCs w:val="24"/>
        </w:rPr>
        <w:t xml:space="preserve">om jediničnom cijenom </w:t>
      </w:r>
      <w:r w:rsidR="00994700" w:rsidRPr="0023671F">
        <w:rPr>
          <w:rFonts w:cstheme="minorHAnsi"/>
          <w:bCs/>
          <w:iCs/>
          <w:sz w:val="24"/>
          <w:szCs w:val="24"/>
        </w:rPr>
        <w:t xml:space="preserve">po toni </w:t>
      </w:r>
      <w:r w:rsidR="0023671F" w:rsidRPr="0023671F">
        <w:rPr>
          <w:rFonts w:cstheme="minorHAnsi"/>
          <w:bCs/>
          <w:iCs/>
          <w:sz w:val="24"/>
          <w:szCs w:val="24"/>
        </w:rPr>
        <w:t>zbrinutog otpada</w:t>
      </w:r>
      <w:r w:rsidR="00994700" w:rsidRPr="0023671F">
        <w:rPr>
          <w:rFonts w:cstheme="minorHAnsi"/>
          <w:bCs/>
          <w:iCs/>
          <w:sz w:val="24"/>
          <w:szCs w:val="24"/>
        </w:rPr>
        <w:t>.</w:t>
      </w:r>
    </w:p>
    <w:p w14:paraId="594927D4" w14:textId="77777777" w:rsidR="00F72849" w:rsidRPr="00CC0F69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r w:rsidRPr="00CC0F69">
        <w:rPr>
          <w:rFonts w:cstheme="minorHAnsi"/>
          <w:b/>
          <w:iCs/>
          <w:sz w:val="24"/>
          <w:szCs w:val="24"/>
        </w:rPr>
        <w:t xml:space="preserve">3.1.2. TROŠKOVI OSOBLJA </w:t>
      </w:r>
    </w:p>
    <w:p w14:paraId="0BB8D004" w14:textId="1F6D938F" w:rsidR="00994700" w:rsidRDefault="00F72849" w:rsidP="00994700">
      <w:pPr>
        <w:spacing w:before="240" w:after="0" w:line="240" w:lineRule="auto"/>
        <w:jc w:val="both"/>
        <w:rPr>
          <w:rFonts w:eastAsia="Calibri" w:cstheme="minorHAnsi"/>
          <w:iCs/>
          <w:color w:val="FF0000"/>
          <w:sz w:val="24"/>
          <w:szCs w:val="24"/>
        </w:rPr>
      </w:pPr>
      <w:r w:rsidRPr="00CC0F69">
        <w:rPr>
          <w:rFonts w:cstheme="minorHAnsi"/>
          <w:iCs/>
          <w:sz w:val="24"/>
          <w:szCs w:val="24"/>
        </w:rPr>
        <w:t>Troškovi osoblja u 202</w:t>
      </w:r>
      <w:r w:rsidR="00994700">
        <w:rPr>
          <w:rFonts w:cstheme="minorHAnsi"/>
          <w:iCs/>
          <w:sz w:val="24"/>
          <w:szCs w:val="24"/>
        </w:rPr>
        <w:t>3</w:t>
      </w:r>
      <w:r w:rsidRPr="00CC0F69">
        <w:rPr>
          <w:rFonts w:cstheme="minorHAnsi"/>
          <w:iCs/>
          <w:sz w:val="24"/>
          <w:szCs w:val="24"/>
        </w:rPr>
        <w:t xml:space="preserve">. godini iznose </w:t>
      </w:r>
      <w:r w:rsidR="00994700">
        <w:rPr>
          <w:rFonts w:cstheme="minorHAnsi"/>
          <w:iCs/>
          <w:sz w:val="24"/>
          <w:szCs w:val="24"/>
        </w:rPr>
        <w:t>2.507.871,32 eur</w:t>
      </w:r>
      <w:r w:rsidRPr="00CC0F69">
        <w:rPr>
          <w:rFonts w:cstheme="minorHAnsi"/>
          <w:iCs/>
          <w:sz w:val="24"/>
          <w:szCs w:val="24"/>
        </w:rPr>
        <w:t xml:space="preserve"> (202</w:t>
      </w:r>
      <w:r w:rsidR="00994700">
        <w:rPr>
          <w:rFonts w:cstheme="minorHAnsi"/>
          <w:iCs/>
          <w:sz w:val="24"/>
          <w:szCs w:val="24"/>
        </w:rPr>
        <w:t>2</w:t>
      </w:r>
      <w:r w:rsidRPr="00CC0F69">
        <w:rPr>
          <w:rFonts w:cstheme="minorHAnsi"/>
          <w:iCs/>
          <w:sz w:val="24"/>
          <w:szCs w:val="24"/>
        </w:rPr>
        <w:t xml:space="preserve">.: </w:t>
      </w:r>
      <w:r w:rsidR="00994700">
        <w:rPr>
          <w:rFonts w:cstheme="minorHAnsi"/>
          <w:iCs/>
          <w:sz w:val="24"/>
          <w:szCs w:val="24"/>
        </w:rPr>
        <w:t>2.112.617,82 eur</w:t>
      </w:r>
      <w:r w:rsidRPr="00CC0F69">
        <w:rPr>
          <w:rFonts w:cstheme="minorHAnsi"/>
          <w:iCs/>
          <w:sz w:val="24"/>
          <w:szCs w:val="24"/>
        </w:rPr>
        <w:t xml:space="preserve">). </w:t>
      </w:r>
      <w:r w:rsidRPr="00CC0F69">
        <w:rPr>
          <w:rFonts w:eastAsia="Calibri" w:cstheme="minorHAnsi"/>
          <w:iCs/>
          <w:sz w:val="24"/>
          <w:szCs w:val="24"/>
        </w:rPr>
        <w:t>Prosječna bruto plaća u 202</w:t>
      </w:r>
      <w:r w:rsidR="00994700">
        <w:rPr>
          <w:rFonts w:eastAsia="Calibri" w:cstheme="minorHAnsi"/>
          <w:iCs/>
          <w:sz w:val="24"/>
          <w:szCs w:val="24"/>
        </w:rPr>
        <w:t>3</w:t>
      </w:r>
      <w:r w:rsidRPr="00CC0F69">
        <w:rPr>
          <w:rFonts w:eastAsia="Calibri" w:cstheme="minorHAnsi"/>
          <w:iCs/>
          <w:sz w:val="24"/>
          <w:szCs w:val="24"/>
        </w:rPr>
        <w:t xml:space="preserve">. godini iznosila je </w:t>
      </w:r>
      <w:r w:rsidR="00994700" w:rsidRPr="00DA5AE7">
        <w:rPr>
          <w:sz w:val="24"/>
          <w:szCs w:val="24"/>
        </w:rPr>
        <w:t>1.375,61 eur</w:t>
      </w:r>
      <w:r w:rsidRPr="00994700">
        <w:rPr>
          <w:rFonts w:eastAsia="Calibri" w:cstheme="minorHAnsi"/>
          <w:iCs/>
          <w:color w:val="FF0000"/>
          <w:sz w:val="24"/>
          <w:szCs w:val="24"/>
        </w:rPr>
        <w:t xml:space="preserve"> </w:t>
      </w:r>
      <w:r w:rsidRPr="00CC0F69">
        <w:rPr>
          <w:rFonts w:eastAsia="Calibri" w:cstheme="minorHAnsi"/>
          <w:iCs/>
          <w:sz w:val="24"/>
          <w:szCs w:val="24"/>
        </w:rPr>
        <w:t>(202</w:t>
      </w:r>
      <w:r w:rsidR="00994700">
        <w:rPr>
          <w:rFonts w:eastAsia="Calibri" w:cstheme="minorHAnsi"/>
          <w:iCs/>
          <w:sz w:val="24"/>
          <w:szCs w:val="24"/>
        </w:rPr>
        <w:t>2</w:t>
      </w:r>
      <w:r w:rsidRPr="00CC0F69">
        <w:rPr>
          <w:rFonts w:eastAsia="Calibri" w:cstheme="minorHAnsi"/>
          <w:iCs/>
          <w:sz w:val="24"/>
          <w:szCs w:val="24"/>
        </w:rPr>
        <w:t>.:</w:t>
      </w:r>
      <w:r w:rsidR="008535AD">
        <w:rPr>
          <w:rFonts w:eastAsia="Calibri" w:cstheme="minorHAnsi"/>
          <w:iCs/>
          <w:sz w:val="24"/>
          <w:szCs w:val="24"/>
        </w:rPr>
        <w:t xml:space="preserve"> 1.252,99 eur</w:t>
      </w:r>
      <w:r w:rsidRPr="00CC0F69">
        <w:rPr>
          <w:rFonts w:eastAsia="Calibri" w:cstheme="minorHAnsi"/>
          <w:iCs/>
          <w:sz w:val="24"/>
          <w:szCs w:val="24"/>
        </w:rPr>
        <w:t xml:space="preserve">), a </w:t>
      </w:r>
      <w:r w:rsidRPr="00DA5AE7">
        <w:rPr>
          <w:rFonts w:eastAsia="Calibri" w:cstheme="minorHAnsi"/>
          <w:iCs/>
          <w:sz w:val="24"/>
          <w:szCs w:val="24"/>
        </w:rPr>
        <w:t xml:space="preserve">neto </w:t>
      </w:r>
      <w:r w:rsidR="00994700" w:rsidRPr="00DA5AE7">
        <w:rPr>
          <w:sz w:val="24"/>
          <w:szCs w:val="24"/>
        </w:rPr>
        <w:t>1.130,51 eur</w:t>
      </w:r>
      <w:r w:rsidR="00994700" w:rsidRPr="00994700">
        <w:rPr>
          <w:rFonts w:eastAsia="Calibri" w:cstheme="minorHAnsi"/>
          <w:iCs/>
          <w:sz w:val="24"/>
          <w:szCs w:val="24"/>
          <w:highlight w:val="cyan"/>
        </w:rPr>
        <w:t xml:space="preserve"> </w:t>
      </w:r>
      <w:r w:rsidRPr="008535AD">
        <w:rPr>
          <w:rFonts w:eastAsia="Calibri" w:cstheme="minorHAnsi"/>
          <w:iCs/>
          <w:sz w:val="24"/>
          <w:szCs w:val="24"/>
        </w:rPr>
        <w:t>(202</w:t>
      </w:r>
      <w:r w:rsidR="00994700" w:rsidRPr="008535AD">
        <w:rPr>
          <w:rFonts w:eastAsia="Calibri" w:cstheme="minorHAnsi"/>
          <w:iCs/>
          <w:sz w:val="24"/>
          <w:szCs w:val="24"/>
        </w:rPr>
        <w:t>2</w:t>
      </w:r>
      <w:r w:rsidRPr="008535AD">
        <w:rPr>
          <w:rFonts w:eastAsia="Calibri" w:cstheme="minorHAnsi"/>
          <w:iCs/>
          <w:sz w:val="24"/>
          <w:szCs w:val="24"/>
        </w:rPr>
        <w:t>.:</w:t>
      </w:r>
      <w:r w:rsidR="008535AD" w:rsidRPr="008535AD">
        <w:rPr>
          <w:rFonts w:eastAsia="Calibri" w:cstheme="minorHAnsi"/>
          <w:iCs/>
          <w:sz w:val="24"/>
          <w:szCs w:val="24"/>
        </w:rPr>
        <w:t xml:space="preserve"> 965,35 eur</w:t>
      </w:r>
      <w:r w:rsidRPr="008535AD">
        <w:rPr>
          <w:rFonts w:eastAsia="Calibri" w:cstheme="minorHAnsi"/>
          <w:iCs/>
          <w:sz w:val="24"/>
          <w:szCs w:val="24"/>
        </w:rPr>
        <w:t>).</w:t>
      </w:r>
      <w:r w:rsidRPr="00085B4C">
        <w:rPr>
          <w:rFonts w:eastAsia="Calibri" w:cstheme="minorHAnsi"/>
          <w:iCs/>
          <w:sz w:val="24"/>
          <w:szCs w:val="24"/>
        </w:rPr>
        <w:t xml:space="preserve"> </w:t>
      </w:r>
    </w:p>
    <w:p w14:paraId="4ECF96AB" w14:textId="5FFD1919" w:rsidR="00F72849" w:rsidRPr="00085B4C" w:rsidRDefault="00F72849" w:rsidP="00994700">
      <w:pPr>
        <w:spacing w:before="240"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3.1.3. AMORTIZACIJA </w:t>
      </w:r>
    </w:p>
    <w:p w14:paraId="0CD4018E" w14:textId="3ED2E4F2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Troškovi amortizacije u 202</w:t>
      </w:r>
      <w:r w:rsidR="00972760">
        <w:rPr>
          <w:rFonts w:cstheme="minorHAnsi"/>
          <w:iCs/>
          <w:sz w:val="24"/>
          <w:szCs w:val="24"/>
        </w:rPr>
        <w:t>3</w:t>
      </w:r>
      <w:r w:rsidRPr="00085B4C">
        <w:rPr>
          <w:rFonts w:cstheme="minorHAnsi"/>
          <w:iCs/>
          <w:sz w:val="24"/>
          <w:szCs w:val="24"/>
        </w:rPr>
        <w:t xml:space="preserve">. godini iznose </w:t>
      </w:r>
      <w:r w:rsidR="00972760">
        <w:rPr>
          <w:rFonts w:cstheme="minorHAnsi"/>
          <w:iCs/>
          <w:sz w:val="24"/>
          <w:szCs w:val="24"/>
        </w:rPr>
        <w:t xml:space="preserve">944.112,05 eur </w:t>
      </w:r>
      <w:r>
        <w:rPr>
          <w:rFonts w:cstheme="minorHAnsi"/>
          <w:iCs/>
          <w:sz w:val="24"/>
          <w:szCs w:val="24"/>
        </w:rPr>
        <w:t>(202</w:t>
      </w:r>
      <w:r w:rsidR="00972760">
        <w:rPr>
          <w:rFonts w:cstheme="minorHAnsi"/>
          <w:iCs/>
          <w:sz w:val="24"/>
          <w:szCs w:val="24"/>
        </w:rPr>
        <w:t>2</w:t>
      </w:r>
      <w:r>
        <w:rPr>
          <w:rFonts w:cstheme="minorHAnsi"/>
          <w:iCs/>
          <w:sz w:val="24"/>
          <w:szCs w:val="24"/>
        </w:rPr>
        <w:t xml:space="preserve">.: </w:t>
      </w:r>
      <w:r w:rsidR="00972760">
        <w:rPr>
          <w:rFonts w:cstheme="minorHAnsi"/>
          <w:iCs/>
          <w:sz w:val="24"/>
          <w:szCs w:val="24"/>
        </w:rPr>
        <w:t>939.269,</w:t>
      </w:r>
      <w:r w:rsidR="00DA5AE7">
        <w:rPr>
          <w:rFonts w:cstheme="minorHAnsi"/>
          <w:iCs/>
          <w:sz w:val="24"/>
          <w:szCs w:val="24"/>
        </w:rPr>
        <w:t>50</w:t>
      </w:r>
      <w:r w:rsidR="00972760">
        <w:rPr>
          <w:rFonts w:cstheme="minorHAnsi"/>
          <w:iCs/>
          <w:sz w:val="24"/>
          <w:szCs w:val="24"/>
        </w:rPr>
        <w:t xml:space="preserve"> eur</w:t>
      </w:r>
      <w:r>
        <w:rPr>
          <w:rFonts w:cstheme="minorHAnsi"/>
          <w:iCs/>
          <w:sz w:val="24"/>
          <w:szCs w:val="24"/>
        </w:rPr>
        <w:t>).</w:t>
      </w:r>
    </w:p>
    <w:p w14:paraId="3C4C597C" w14:textId="54D5655A" w:rsidR="00F72849" w:rsidRPr="004847B1" w:rsidRDefault="00F72849" w:rsidP="00F72849">
      <w:pPr>
        <w:tabs>
          <w:tab w:val="left" w:pos="-180"/>
        </w:tabs>
        <w:spacing w:before="240" w:after="0" w:line="240" w:lineRule="auto"/>
        <w:ind w:right="140"/>
        <w:jc w:val="both"/>
        <w:rPr>
          <w:rFonts w:cstheme="minorHAnsi"/>
          <w:sz w:val="24"/>
          <w:szCs w:val="24"/>
        </w:rPr>
      </w:pPr>
      <w:r w:rsidRPr="004847B1">
        <w:rPr>
          <w:rFonts w:cstheme="minorHAnsi"/>
          <w:iCs/>
          <w:sz w:val="24"/>
          <w:szCs w:val="24"/>
        </w:rPr>
        <w:t xml:space="preserve">Kao što je navedeno u Bilješkama 2.1. i 14., Društvo je iskazalo prihod u visini obračunate amortizacije imovine nabavljene iz sredstava potpora u iznosu od </w:t>
      </w:r>
      <w:r w:rsidR="004847B1" w:rsidRPr="004847B1">
        <w:rPr>
          <w:rFonts w:cstheme="minorHAnsi"/>
          <w:iCs/>
          <w:sz w:val="24"/>
          <w:szCs w:val="24"/>
        </w:rPr>
        <w:t>229.996,94 eur</w:t>
      </w:r>
      <w:r w:rsidRPr="004847B1">
        <w:rPr>
          <w:rFonts w:cstheme="minorHAnsi"/>
          <w:iCs/>
          <w:sz w:val="24"/>
          <w:szCs w:val="24"/>
        </w:rPr>
        <w:t xml:space="preserve"> (202</w:t>
      </w:r>
      <w:r w:rsidR="00DA5AE7" w:rsidRPr="004847B1">
        <w:rPr>
          <w:rFonts w:cstheme="minorHAnsi"/>
          <w:iCs/>
          <w:sz w:val="24"/>
          <w:szCs w:val="24"/>
        </w:rPr>
        <w:t>2</w:t>
      </w:r>
      <w:r w:rsidRPr="004847B1">
        <w:rPr>
          <w:rFonts w:cstheme="minorHAnsi"/>
          <w:iCs/>
          <w:sz w:val="24"/>
          <w:szCs w:val="24"/>
        </w:rPr>
        <w:t xml:space="preserve">.: </w:t>
      </w:r>
      <w:r w:rsidR="00DA5AE7" w:rsidRPr="004847B1">
        <w:rPr>
          <w:rFonts w:cstheme="minorHAnsi"/>
          <w:bCs/>
          <w:sz w:val="24"/>
          <w:szCs w:val="24"/>
        </w:rPr>
        <w:t>259.663,07 eur</w:t>
      </w:r>
      <w:r w:rsidRPr="004847B1">
        <w:rPr>
          <w:rFonts w:cstheme="minorHAnsi"/>
          <w:iCs/>
          <w:sz w:val="24"/>
          <w:szCs w:val="24"/>
        </w:rPr>
        <w:t>) pa je utjecaj na rezultat</w:t>
      </w:r>
      <w:r w:rsidR="004847B1" w:rsidRPr="004847B1">
        <w:rPr>
          <w:rFonts w:cstheme="minorHAnsi"/>
          <w:iCs/>
          <w:sz w:val="24"/>
          <w:szCs w:val="24"/>
        </w:rPr>
        <w:t xml:space="preserve"> 714.115,11 eur</w:t>
      </w:r>
      <w:r w:rsidRPr="004847B1">
        <w:rPr>
          <w:rFonts w:cstheme="minorHAnsi"/>
          <w:iCs/>
          <w:sz w:val="24"/>
          <w:szCs w:val="24"/>
        </w:rPr>
        <w:t xml:space="preserve"> (202</w:t>
      </w:r>
      <w:r w:rsidR="004847B1" w:rsidRPr="004847B1">
        <w:rPr>
          <w:rFonts w:cstheme="minorHAnsi"/>
          <w:iCs/>
          <w:sz w:val="24"/>
          <w:szCs w:val="24"/>
        </w:rPr>
        <w:t>2</w:t>
      </w:r>
      <w:r w:rsidRPr="004847B1">
        <w:rPr>
          <w:rFonts w:cstheme="minorHAnsi"/>
          <w:iCs/>
          <w:sz w:val="24"/>
          <w:szCs w:val="24"/>
        </w:rPr>
        <w:t xml:space="preserve">.: </w:t>
      </w:r>
      <w:r w:rsidR="004847B1" w:rsidRPr="004847B1">
        <w:rPr>
          <w:rFonts w:cstheme="minorHAnsi"/>
          <w:iCs/>
          <w:sz w:val="24"/>
          <w:szCs w:val="24"/>
        </w:rPr>
        <w:t>679.606,43 eur</w:t>
      </w:r>
      <w:r w:rsidRPr="004847B1">
        <w:rPr>
          <w:rFonts w:cstheme="minorHAnsi"/>
          <w:iCs/>
          <w:sz w:val="24"/>
          <w:szCs w:val="24"/>
        </w:rPr>
        <w:t>).</w:t>
      </w:r>
    </w:p>
    <w:p w14:paraId="5811CD07" w14:textId="77777777" w:rsidR="00F72849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4847B1">
        <w:rPr>
          <w:rFonts w:cstheme="minorHAnsi"/>
          <w:iCs/>
          <w:sz w:val="24"/>
          <w:szCs w:val="24"/>
        </w:rPr>
        <w:t>Primijenjene stope ne prelaze porezno dopustive stope.</w:t>
      </w:r>
    </w:p>
    <w:p w14:paraId="39C82C4E" w14:textId="77777777" w:rsidR="00CB4DD7" w:rsidRDefault="00CB4DD7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13B86BA9" w14:textId="77777777" w:rsidR="00CB4DD7" w:rsidRDefault="00CB4DD7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13267F46" w14:textId="77777777" w:rsidR="00CB4DD7" w:rsidRPr="004847B1" w:rsidRDefault="00CB4DD7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3DF35D5C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lastRenderedPageBreak/>
        <w:t xml:space="preserve">3.1.4. OSTALI TROŠKOVI </w:t>
      </w:r>
    </w:p>
    <w:bookmarkStart w:id="29" w:name="_Hlk72317670"/>
    <w:bookmarkStart w:id="30" w:name="_MON_1647249694"/>
    <w:bookmarkEnd w:id="30"/>
    <w:p w14:paraId="3C5167C4" w14:textId="134D0CE2" w:rsidR="00F72849" w:rsidRPr="00085B4C" w:rsidRDefault="00E9152F" w:rsidP="00F72849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085B4C">
        <w:rPr>
          <w:rFonts w:cstheme="minorHAnsi"/>
          <w:bCs/>
          <w:iCs/>
          <w:sz w:val="24"/>
          <w:szCs w:val="24"/>
        </w:rPr>
        <w:object w:dxaOrig="9227" w:dyaOrig="4437" w14:anchorId="56B5BEF3">
          <v:shape id="_x0000_i1028" type="#_x0000_t75" style="width:461.35pt;height:222.9pt" o:ole="">
            <v:imagedata r:id="rId14" o:title=""/>
          </v:shape>
          <o:OLEObject Type="Embed" ProgID="Excel.Sheet.12" ShapeID="_x0000_i1028" DrawAspect="Content" ObjectID="_1778063308" r:id="rId15"/>
        </w:object>
      </w:r>
      <w:bookmarkEnd w:id="29"/>
    </w:p>
    <w:p w14:paraId="1A069FC6" w14:textId="5AE1B9D3" w:rsidR="00F72849" w:rsidRPr="00D25F93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D25F93">
        <w:rPr>
          <w:rFonts w:cstheme="minorHAnsi"/>
          <w:iCs/>
          <w:sz w:val="24"/>
          <w:szCs w:val="24"/>
        </w:rPr>
        <w:t xml:space="preserve">Ostali troškovi veći su za </w:t>
      </w:r>
      <w:r w:rsidR="00D25F93" w:rsidRPr="00E9152F">
        <w:rPr>
          <w:rFonts w:cstheme="minorHAnsi"/>
          <w:iCs/>
          <w:sz w:val="24"/>
          <w:szCs w:val="24"/>
        </w:rPr>
        <w:t>20.229,52 eur</w:t>
      </w:r>
      <w:r w:rsidRPr="00D25F93">
        <w:rPr>
          <w:rFonts w:cstheme="minorHAnsi"/>
          <w:iCs/>
          <w:sz w:val="24"/>
          <w:szCs w:val="24"/>
        </w:rPr>
        <w:t xml:space="preserve"> (202</w:t>
      </w:r>
      <w:r w:rsidR="00D25F93" w:rsidRPr="00D25F93">
        <w:rPr>
          <w:rFonts w:cstheme="minorHAnsi"/>
          <w:iCs/>
          <w:sz w:val="24"/>
          <w:szCs w:val="24"/>
        </w:rPr>
        <w:t>2</w:t>
      </w:r>
      <w:r w:rsidRPr="00D25F93">
        <w:rPr>
          <w:rFonts w:cstheme="minorHAnsi"/>
          <w:iCs/>
          <w:sz w:val="24"/>
          <w:szCs w:val="24"/>
        </w:rPr>
        <w:t xml:space="preserve">.: veći za </w:t>
      </w:r>
      <w:r w:rsidR="00D25F93" w:rsidRPr="00D25F93">
        <w:rPr>
          <w:rFonts w:cstheme="minorHAnsi"/>
          <w:iCs/>
          <w:sz w:val="24"/>
          <w:szCs w:val="24"/>
        </w:rPr>
        <w:t>84.457,45 eur</w:t>
      </w:r>
      <w:r w:rsidRPr="00D25F93">
        <w:rPr>
          <w:rFonts w:cstheme="minorHAnsi"/>
          <w:iCs/>
          <w:sz w:val="24"/>
          <w:szCs w:val="24"/>
        </w:rPr>
        <w:t xml:space="preserve"> prema 202</w:t>
      </w:r>
      <w:r w:rsidR="00D25F93" w:rsidRPr="00D25F93">
        <w:rPr>
          <w:rFonts w:cstheme="minorHAnsi"/>
          <w:iCs/>
          <w:sz w:val="24"/>
          <w:szCs w:val="24"/>
        </w:rPr>
        <w:t>1</w:t>
      </w:r>
      <w:r w:rsidRPr="00D25F93">
        <w:rPr>
          <w:rFonts w:cstheme="minorHAnsi"/>
          <w:iCs/>
          <w:sz w:val="24"/>
          <w:szCs w:val="24"/>
        </w:rPr>
        <w:t xml:space="preserve">.) u odnosu na prethodnu godinu, a najznačajnije povećanje </w:t>
      </w:r>
      <w:r w:rsidR="00D25F93">
        <w:rPr>
          <w:rFonts w:cstheme="minorHAnsi"/>
          <w:iCs/>
          <w:sz w:val="24"/>
          <w:szCs w:val="24"/>
        </w:rPr>
        <w:t>18.412,33 eur</w:t>
      </w:r>
      <w:r w:rsidRPr="00D25F93">
        <w:rPr>
          <w:rFonts w:cstheme="minorHAnsi"/>
          <w:iCs/>
          <w:sz w:val="24"/>
          <w:szCs w:val="24"/>
        </w:rPr>
        <w:t xml:space="preserve"> odnosi se kao i u 202</w:t>
      </w:r>
      <w:r w:rsidR="00D25F93">
        <w:rPr>
          <w:rFonts w:cstheme="minorHAnsi"/>
          <w:iCs/>
          <w:sz w:val="24"/>
          <w:szCs w:val="24"/>
        </w:rPr>
        <w:t>2</w:t>
      </w:r>
      <w:r w:rsidRPr="00D25F93">
        <w:rPr>
          <w:rFonts w:cstheme="minorHAnsi"/>
          <w:iCs/>
          <w:sz w:val="24"/>
          <w:szCs w:val="24"/>
        </w:rPr>
        <w:t xml:space="preserve">. godini na troškove materijalnih prava radnika zbog </w:t>
      </w:r>
      <w:r w:rsidR="00A71739" w:rsidRPr="00A71739">
        <w:rPr>
          <w:rFonts w:cstheme="minorHAnsi"/>
          <w:iCs/>
          <w:sz w:val="24"/>
          <w:szCs w:val="24"/>
        </w:rPr>
        <w:t>isplaćen</w:t>
      </w:r>
      <w:r w:rsidR="00A71739">
        <w:rPr>
          <w:rFonts w:cstheme="minorHAnsi"/>
          <w:iCs/>
          <w:sz w:val="24"/>
          <w:szCs w:val="24"/>
        </w:rPr>
        <w:t>ih</w:t>
      </w:r>
      <w:r w:rsidR="00A71739" w:rsidRPr="00A71739">
        <w:rPr>
          <w:rFonts w:cstheme="minorHAnsi"/>
          <w:iCs/>
          <w:sz w:val="24"/>
          <w:szCs w:val="24"/>
        </w:rPr>
        <w:t xml:space="preserve"> dodatn</w:t>
      </w:r>
      <w:r w:rsidR="00A71739">
        <w:rPr>
          <w:rFonts w:cstheme="minorHAnsi"/>
          <w:iCs/>
          <w:sz w:val="24"/>
          <w:szCs w:val="24"/>
        </w:rPr>
        <w:t>ih</w:t>
      </w:r>
      <w:r w:rsidR="00A71739" w:rsidRPr="00A71739">
        <w:rPr>
          <w:rFonts w:cstheme="minorHAnsi"/>
          <w:iCs/>
          <w:sz w:val="24"/>
          <w:szCs w:val="24"/>
        </w:rPr>
        <w:t xml:space="preserve"> </w:t>
      </w:r>
      <w:r w:rsidR="00A71739">
        <w:rPr>
          <w:rFonts w:cstheme="minorHAnsi"/>
          <w:iCs/>
          <w:sz w:val="24"/>
          <w:szCs w:val="24"/>
        </w:rPr>
        <w:t>nagrada</w:t>
      </w:r>
      <w:r w:rsidR="00A71739" w:rsidRPr="00A71739">
        <w:rPr>
          <w:rFonts w:cstheme="minorHAnsi"/>
          <w:iCs/>
          <w:sz w:val="24"/>
          <w:szCs w:val="24"/>
        </w:rPr>
        <w:t xml:space="preserve"> za rad tijekom ljetnih mjeseci</w:t>
      </w:r>
      <w:r w:rsidR="00A71739">
        <w:rPr>
          <w:rFonts w:cstheme="minorHAnsi"/>
          <w:iCs/>
          <w:sz w:val="24"/>
          <w:szCs w:val="24"/>
        </w:rPr>
        <w:t xml:space="preserve"> i</w:t>
      </w:r>
      <w:r w:rsidR="00A5391D">
        <w:rPr>
          <w:rFonts w:cstheme="minorHAnsi"/>
          <w:iCs/>
          <w:sz w:val="24"/>
          <w:szCs w:val="24"/>
        </w:rPr>
        <w:t xml:space="preserve"> isplaćenih </w:t>
      </w:r>
      <w:r w:rsidR="00A5391D" w:rsidRPr="00941BC0">
        <w:rPr>
          <w:rFonts w:cstheme="minorHAnsi"/>
          <w:iCs/>
          <w:sz w:val="24"/>
          <w:szCs w:val="24"/>
        </w:rPr>
        <w:t>neoporezivih</w:t>
      </w:r>
      <w:r w:rsidR="00A71739" w:rsidRPr="00941BC0">
        <w:rPr>
          <w:rFonts w:cstheme="minorHAnsi"/>
          <w:iCs/>
          <w:sz w:val="24"/>
          <w:szCs w:val="24"/>
        </w:rPr>
        <w:t xml:space="preserve"> </w:t>
      </w:r>
      <w:r w:rsidR="00484112" w:rsidRPr="00941BC0">
        <w:rPr>
          <w:rFonts w:cstheme="minorHAnsi"/>
          <w:iCs/>
          <w:sz w:val="24"/>
          <w:szCs w:val="24"/>
        </w:rPr>
        <w:t>otpremnin</w:t>
      </w:r>
      <w:r w:rsidR="00A5391D" w:rsidRPr="00941BC0">
        <w:rPr>
          <w:rFonts w:cstheme="minorHAnsi"/>
          <w:iCs/>
          <w:sz w:val="24"/>
          <w:szCs w:val="24"/>
        </w:rPr>
        <w:t>a</w:t>
      </w:r>
      <w:r w:rsidR="00941BC0" w:rsidRPr="00941BC0">
        <w:rPr>
          <w:rFonts w:cstheme="minorHAnsi"/>
          <w:iCs/>
          <w:sz w:val="24"/>
          <w:szCs w:val="24"/>
        </w:rPr>
        <w:t xml:space="preserve"> za</w:t>
      </w:r>
      <w:r w:rsidR="00941BC0">
        <w:rPr>
          <w:rFonts w:cstheme="minorHAnsi"/>
          <w:iCs/>
          <w:sz w:val="24"/>
          <w:szCs w:val="24"/>
        </w:rPr>
        <w:t xml:space="preserve"> 6 radnika</w:t>
      </w:r>
      <w:r w:rsidRPr="00D25F93">
        <w:rPr>
          <w:rFonts w:cstheme="minorHAnsi"/>
          <w:iCs/>
          <w:sz w:val="24"/>
          <w:szCs w:val="24"/>
        </w:rPr>
        <w:t xml:space="preserve"> (202</w:t>
      </w:r>
      <w:r w:rsidR="00D25F93">
        <w:rPr>
          <w:rFonts w:cstheme="minorHAnsi"/>
          <w:iCs/>
          <w:sz w:val="24"/>
          <w:szCs w:val="24"/>
        </w:rPr>
        <w:t>2</w:t>
      </w:r>
      <w:r w:rsidRPr="00D25F93">
        <w:rPr>
          <w:rFonts w:cstheme="minorHAnsi"/>
          <w:iCs/>
          <w:sz w:val="24"/>
          <w:szCs w:val="24"/>
        </w:rPr>
        <w:t xml:space="preserve">.: povećanje od </w:t>
      </w:r>
      <w:r w:rsidR="00D25F93">
        <w:rPr>
          <w:rFonts w:cstheme="minorHAnsi"/>
          <w:iCs/>
          <w:sz w:val="24"/>
          <w:szCs w:val="24"/>
        </w:rPr>
        <w:t>71.477,87 eur</w:t>
      </w:r>
      <w:r w:rsidRPr="00D25F93">
        <w:rPr>
          <w:rFonts w:cstheme="minorHAnsi"/>
          <w:iCs/>
          <w:sz w:val="24"/>
          <w:szCs w:val="24"/>
        </w:rPr>
        <w:t>).</w:t>
      </w:r>
    </w:p>
    <w:p w14:paraId="39AEE4BE" w14:textId="7475A1B1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>3.1.5. VRIJEDNOSN</w:t>
      </w:r>
      <w:r w:rsidR="00F502D6">
        <w:rPr>
          <w:rFonts w:cstheme="minorHAnsi"/>
          <w:b/>
          <w:bCs/>
          <w:iCs/>
          <w:sz w:val="24"/>
          <w:szCs w:val="24"/>
        </w:rPr>
        <w:t>A</w:t>
      </w:r>
      <w:r w:rsidRPr="00085B4C">
        <w:rPr>
          <w:rFonts w:cstheme="minorHAnsi"/>
          <w:b/>
          <w:bCs/>
          <w:iCs/>
          <w:sz w:val="24"/>
          <w:szCs w:val="24"/>
        </w:rPr>
        <w:t xml:space="preserve"> USKLAĐENJ</w:t>
      </w:r>
      <w:r w:rsidR="00F502D6">
        <w:rPr>
          <w:rFonts w:cstheme="minorHAnsi"/>
          <w:b/>
          <w:bCs/>
          <w:iCs/>
          <w:sz w:val="24"/>
          <w:szCs w:val="24"/>
        </w:rPr>
        <w:t>A</w:t>
      </w:r>
      <w:r w:rsidRPr="00085B4C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058A2C43" w14:textId="4351D74C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bookmarkStart w:id="31" w:name="_Hlk164773542"/>
      <w:r w:rsidRPr="00085B4C">
        <w:rPr>
          <w:rFonts w:cstheme="minorHAnsi"/>
          <w:iCs/>
          <w:sz w:val="24"/>
          <w:szCs w:val="24"/>
        </w:rPr>
        <w:t>Društvo je u 202</w:t>
      </w:r>
      <w:r w:rsidR="002C69AF">
        <w:rPr>
          <w:rFonts w:cstheme="minorHAnsi"/>
          <w:iCs/>
          <w:sz w:val="24"/>
          <w:szCs w:val="24"/>
        </w:rPr>
        <w:t>3</w:t>
      </w:r>
      <w:r w:rsidRPr="00085B4C">
        <w:rPr>
          <w:rFonts w:cstheme="minorHAnsi"/>
          <w:iCs/>
          <w:sz w:val="24"/>
          <w:szCs w:val="24"/>
        </w:rPr>
        <w:t xml:space="preserve">. </w:t>
      </w:r>
      <w:r w:rsidRPr="00E95E13">
        <w:rPr>
          <w:rFonts w:cstheme="minorHAnsi"/>
          <w:iCs/>
          <w:sz w:val="24"/>
          <w:szCs w:val="24"/>
        </w:rPr>
        <w:t xml:space="preserve">godini vrijednosno uskladilo </w:t>
      </w:r>
      <w:r w:rsidR="002C69AF">
        <w:rPr>
          <w:rFonts w:cstheme="minorHAnsi"/>
          <w:iCs/>
          <w:sz w:val="24"/>
          <w:szCs w:val="24"/>
        </w:rPr>
        <w:t>22.963,27 eur</w:t>
      </w:r>
      <w:r w:rsidRPr="00E95E13">
        <w:rPr>
          <w:rFonts w:cstheme="minorHAnsi"/>
          <w:iCs/>
          <w:sz w:val="24"/>
          <w:szCs w:val="24"/>
        </w:rPr>
        <w:t xml:space="preserve"> potraživanja (202</w:t>
      </w:r>
      <w:r w:rsidR="002C69AF">
        <w:rPr>
          <w:rFonts w:cstheme="minorHAnsi"/>
          <w:iCs/>
          <w:sz w:val="24"/>
          <w:szCs w:val="24"/>
        </w:rPr>
        <w:t>2</w:t>
      </w:r>
      <w:r w:rsidRPr="00E95E13">
        <w:rPr>
          <w:rFonts w:cstheme="minorHAnsi"/>
          <w:iCs/>
          <w:sz w:val="24"/>
          <w:szCs w:val="24"/>
        </w:rPr>
        <w:t xml:space="preserve">.: </w:t>
      </w:r>
      <w:r w:rsidR="002C69AF">
        <w:rPr>
          <w:rFonts w:cstheme="minorHAnsi"/>
          <w:iCs/>
          <w:sz w:val="24"/>
          <w:szCs w:val="24"/>
        </w:rPr>
        <w:t xml:space="preserve">21.890,29 </w:t>
      </w:r>
      <w:r w:rsidR="002C69AF" w:rsidRPr="001F1570">
        <w:rPr>
          <w:rFonts w:cstheme="minorHAnsi"/>
          <w:iCs/>
          <w:sz w:val="24"/>
          <w:szCs w:val="24"/>
        </w:rPr>
        <w:t>eur</w:t>
      </w:r>
      <w:r w:rsidRPr="001F1570">
        <w:rPr>
          <w:rFonts w:cstheme="minorHAnsi"/>
          <w:iCs/>
          <w:sz w:val="24"/>
          <w:szCs w:val="24"/>
        </w:rPr>
        <w:t xml:space="preserve">) </w:t>
      </w:r>
      <w:r w:rsidR="00484112" w:rsidRPr="001F1570">
        <w:rPr>
          <w:rFonts w:cstheme="minorHAnsi"/>
          <w:iCs/>
          <w:sz w:val="24"/>
          <w:szCs w:val="24"/>
        </w:rPr>
        <w:t>od čega 22.885,95 eur</w:t>
      </w:r>
      <w:r w:rsidRPr="001F1570">
        <w:rPr>
          <w:rFonts w:cstheme="minorHAnsi"/>
          <w:iCs/>
          <w:sz w:val="24"/>
          <w:szCs w:val="24"/>
        </w:rPr>
        <w:t xml:space="preserve"> utuženih potraživanja kod kojih je naplata neizvjesna i </w:t>
      </w:r>
      <w:r w:rsidR="001F1570" w:rsidRPr="001F1570">
        <w:rPr>
          <w:rFonts w:cstheme="minorHAnsi"/>
          <w:iCs/>
          <w:sz w:val="24"/>
          <w:szCs w:val="24"/>
        </w:rPr>
        <w:t>77,32 eur</w:t>
      </w:r>
      <w:r w:rsidRPr="001F1570">
        <w:rPr>
          <w:rFonts w:cstheme="minorHAnsi"/>
          <w:iCs/>
          <w:sz w:val="24"/>
          <w:szCs w:val="24"/>
        </w:rPr>
        <w:t xml:space="preserve"> potraživanja koja su otpisana </w:t>
      </w:r>
      <w:bookmarkEnd w:id="31"/>
      <w:r w:rsidRPr="001F1570">
        <w:rPr>
          <w:rFonts w:cstheme="minorHAnsi"/>
          <w:iCs/>
          <w:sz w:val="24"/>
          <w:szCs w:val="24"/>
        </w:rPr>
        <w:t>(Bilješka 9/ii/).</w:t>
      </w:r>
      <w:r w:rsidR="002C69AF">
        <w:rPr>
          <w:rFonts w:cstheme="minorHAnsi"/>
          <w:iCs/>
          <w:sz w:val="24"/>
          <w:szCs w:val="24"/>
        </w:rPr>
        <w:t xml:space="preserve"> </w:t>
      </w:r>
    </w:p>
    <w:p w14:paraId="20D0B4A6" w14:textId="77777777" w:rsidR="00F72849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r w:rsidRPr="00085B4C">
        <w:rPr>
          <w:rFonts w:cstheme="minorHAnsi"/>
          <w:b/>
          <w:iCs/>
          <w:sz w:val="24"/>
          <w:szCs w:val="24"/>
        </w:rPr>
        <w:t xml:space="preserve">3.1.6.  OSTALI POSLOVNI RASHODI </w:t>
      </w:r>
    </w:p>
    <w:p w14:paraId="01AF0186" w14:textId="220C076A" w:rsidR="00F72849" w:rsidRDefault="00F72849" w:rsidP="00F72849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941BC0">
        <w:rPr>
          <w:rFonts w:cstheme="minorHAnsi"/>
          <w:bCs/>
          <w:iCs/>
          <w:sz w:val="24"/>
          <w:szCs w:val="24"/>
        </w:rPr>
        <w:t>Ovi rashodi u 202</w:t>
      </w:r>
      <w:r w:rsidR="00941BC0" w:rsidRPr="00941BC0">
        <w:rPr>
          <w:rFonts w:cstheme="minorHAnsi"/>
          <w:bCs/>
          <w:iCs/>
          <w:sz w:val="24"/>
          <w:szCs w:val="24"/>
        </w:rPr>
        <w:t>3</w:t>
      </w:r>
      <w:r w:rsidRPr="00941BC0">
        <w:rPr>
          <w:rFonts w:cstheme="minorHAnsi"/>
          <w:bCs/>
          <w:iCs/>
          <w:sz w:val="24"/>
          <w:szCs w:val="24"/>
        </w:rPr>
        <w:t xml:space="preserve">. godini iznose </w:t>
      </w:r>
      <w:r w:rsidR="00941BC0" w:rsidRPr="00941BC0">
        <w:rPr>
          <w:rFonts w:cstheme="minorHAnsi"/>
          <w:bCs/>
          <w:iCs/>
          <w:sz w:val="24"/>
          <w:szCs w:val="24"/>
        </w:rPr>
        <w:t>12.326,67 eur</w:t>
      </w:r>
      <w:r w:rsidRPr="00941BC0">
        <w:rPr>
          <w:rFonts w:cstheme="minorHAnsi"/>
          <w:bCs/>
          <w:iCs/>
          <w:sz w:val="24"/>
          <w:szCs w:val="24"/>
        </w:rPr>
        <w:t xml:space="preserve"> (202</w:t>
      </w:r>
      <w:r w:rsidR="00941BC0" w:rsidRPr="00941BC0">
        <w:rPr>
          <w:rFonts w:cstheme="minorHAnsi"/>
          <w:bCs/>
          <w:iCs/>
          <w:sz w:val="24"/>
          <w:szCs w:val="24"/>
        </w:rPr>
        <w:t>2</w:t>
      </w:r>
      <w:r w:rsidRPr="00941BC0">
        <w:rPr>
          <w:rFonts w:cstheme="minorHAnsi"/>
          <w:bCs/>
          <w:iCs/>
          <w:sz w:val="24"/>
          <w:szCs w:val="24"/>
        </w:rPr>
        <w:t xml:space="preserve">.: </w:t>
      </w:r>
      <w:r w:rsidR="00941BC0" w:rsidRPr="00941BC0">
        <w:rPr>
          <w:rFonts w:cstheme="minorHAnsi"/>
          <w:bCs/>
          <w:iCs/>
          <w:sz w:val="24"/>
          <w:szCs w:val="24"/>
        </w:rPr>
        <w:t>37.049,62 eur</w:t>
      </w:r>
      <w:r w:rsidRPr="00941BC0">
        <w:rPr>
          <w:rFonts w:cstheme="minorHAnsi"/>
          <w:bCs/>
          <w:iCs/>
          <w:sz w:val="24"/>
          <w:szCs w:val="24"/>
        </w:rPr>
        <w:t xml:space="preserve">), od čega se </w:t>
      </w:r>
      <w:r w:rsidR="00941BC0" w:rsidRPr="00941BC0">
        <w:rPr>
          <w:rFonts w:cstheme="minorHAnsi"/>
          <w:bCs/>
          <w:iCs/>
          <w:sz w:val="24"/>
          <w:szCs w:val="24"/>
        </w:rPr>
        <w:t xml:space="preserve">12.318,27 eur </w:t>
      </w:r>
      <w:r w:rsidRPr="00941BC0">
        <w:rPr>
          <w:rFonts w:cstheme="minorHAnsi"/>
          <w:iCs/>
          <w:sz w:val="24"/>
          <w:szCs w:val="24"/>
        </w:rPr>
        <w:t>odnosi na neotpisanu neto vrijednost rashodovane dugotrajne imovine (202</w:t>
      </w:r>
      <w:r w:rsidR="00941BC0" w:rsidRPr="00941BC0">
        <w:rPr>
          <w:rFonts w:cstheme="minorHAnsi"/>
          <w:iCs/>
          <w:sz w:val="24"/>
          <w:szCs w:val="24"/>
        </w:rPr>
        <w:t>2</w:t>
      </w:r>
      <w:r w:rsidRPr="00941BC0">
        <w:rPr>
          <w:rFonts w:cstheme="minorHAnsi"/>
          <w:iCs/>
          <w:sz w:val="24"/>
          <w:szCs w:val="24"/>
        </w:rPr>
        <w:t xml:space="preserve">.: </w:t>
      </w:r>
      <w:r w:rsidR="00941BC0" w:rsidRPr="00941BC0">
        <w:rPr>
          <w:rFonts w:cstheme="minorHAnsi"/>
          <w:iCs/>
          <w:sz w:val="24"/>
          <w:szCs w:val="24"/>
        </w:rPr>
        <w:t>35.887,44 eur</w:t>
      </w:r>
      <w:r w:rsidRPr="00941BC0">
        <w:rPr>
          <w:rFonts w:cstheme="minorHAnsi"/>
          <w:iCs/>
          <w:sz w:val="24"/>
          <w:szCs w:val="24"/>
        </w:rPr>
        <w:t>)</w:t>
      </w:r>
      <w:r w:rsidR="00941BC0" w:rsidRPr="00941BC0">
        <w:rPr>
          <w:rFonts w:cstheme="minorHAnsi"/>
          <w:iCs/>
          <w:sz w:val="24"/>
          <w:szCs w:val="24"/>
        </w:rPr>
        <w:t>.</w:t>
      </w:r>
      <w:r w:rsidRPr="00085B4C">
        <w:rPr>
          <w:rFonts w:cstheme="minorHAnsi"/>
          <w:iCs/>
          <w:sz w:val="24"/>
          <w:szCs w:val="24"/>
        </w:rPr>
        <w:t xml:space="preserve"> </w:t>
      </w:r>
    </w:p>
    <w:p w14:paraId="0DD4C4D0" w14:textId="77777777" w:rsidR="00BC202E" w:rsidRDefault="00BC202E" w:rsidP="00F72849">
      <w:pPr>
        <w:spacing w:before="24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31DA3484" w14:textId="77777777" w:rsidR="00F72849" w:rsidRPr="00085B4C" w:rsidRDefault="00F72849" w:rsidP="00F72849">
      <w:pPr>
        <w:pStyle w:val="ListParagraph"/>
        <w:numPr>
          <w:ilvl w:val="1"/>
          <w:numId w:val="20"/>
        </w:num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t xml:space="preserve"> FINANCIJSKI RASHODI </w:t>
      </w:r>
    </w:p>
    <w:bookmarkStart w:id="32" w:name="_Hlk72317722"/>
    <w:bookmarkStart w:id="33" w:name="_MON_1775489763"/>
    <w:bookmarkEnd w:id="33"/>
    <w:p w14:paraId="63FDE73E" w14:textId="4758B597" w:rsidR="00F72849" w:rsidRPr="00FA323E" w:rsidRDefault="00E9152F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color w:val="FF0000"/>
          <w:sz w:val="24"/>
          <w:szCs w:val="24"/>
        </w:rPr>
      </w:pPr>
      <w:r>
        <w:rPr>
          <w:rFonts w:cstheme="minorHAnsi"/>
          <w:b/>
          <w:bCs/>
          <w:iCs/>
          <w:color w:val="FF0000"/>
          <w:sz w:val="24"/>
          <w:szCs w:val="24"/>
        </w:rPr>
        <w:object w:dxaOrig="6583" w:dyaOrig="2054" w14:anchorId="46F26C1B">
          <v:shape id="_x0000_i1029" type="#_x0000_t75" style="width:329.25pt;height:102.75pt" o:ole="">
            <v:imagedata r:id="rId16" o:title=""/>
          </v:shape>
          <o:OLEObject Type="Embed" ProgID="Excel.Sheet.12" ShapeID="_x0000_i1029" DrawAspect="Content" ObjectID="_1778063309" r:id="rId17"/>
        </w:object>
      </w:r>
      <w:bookmarkEnd w:id="32"/>
    </w:p>
    <w:p w14:paraId="4ADAD167" w14:textId="77777777" w:rsidR="00DB694C" w:rsidRDefault="00DB694C" w:rsidP="00DB694C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</w:p>
    <w:p w14:paraId="1E9D2F6F" w14:textId="313B4BE1" w:rsidR="00F72849" w:rsidRPr="00085B4C" w:rsidRDefault="00F72849" w:rsidP="00F72849">
      <w:pPr>
        <w:pStyle w:val="ListParagraph"/>
        <w:numPr>
          <w:ilvl w:val="0"/>
          <w:numId w:val="20"/>
        </w:num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085B4C">
        <w:rPr>
          <w:rFonts w:cstheme="minorHAnsi"/>
          <w:b/>
          <w:bCs/>
          <w:iCs/>
          <w:sz w:val="24"/>
          <w:szCs w:val="24"/>
        </w:rPr>
        <w:lastRenderedPageBreak/>
        <w:t>DOBIT TEKUĆE GODINE</w:t>
      </w:r>
    </w:p>
    <w:p w14:paraId="0F317D1C" w14:textId="5869F71E" w:rsidR="00F72849" w:rsidRPr="00085B4C" w:rsidRDefault="00F72849" w:rsidP="00F72849">
      <w:pPr>
        <w:tabs>
          <w:tab w:val="left" w:pos="-180"/>
        </w:tabs>
        <w:spacing w:before="240" w:after="0" w:line="240" w:lineRule="auto"/>
        <w:ind w:right="-28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t>Za razdoblje od 01. siječnja do 31. prosinca 202</w:t>
      </w:r>
      <w:r w:rsidR="00FA323E">
        <w:rPr>
          <w:rFonts w:cstheme="minorHAnsi"/>
          <w:iCs/>
          <w:sz w:val="24"/>
          <w:szCs w:val="24"/>
        </w:rPr>
        <w:t>3</w:t>
      </w:r>
      <w:r w:rsidRPr="00085B4C">
        <w:rPr>
          <w:rFonts w:cstheme="minorHAnsi"/>
          <w:iCs/>
          <w:sz w:val="24"/>
          <w:szCs w:val="24"/>
        </w:rPr>
        <w:t>. godine Društvo je temeljem razlike prihoda i rashoda ostvarilo pozitivan rezultat poslovanja financijske godine:</w:t>
      </w:r>
    </w:p>
    <w:bookmarkStart w:id="34" w:name="_Hlk72317774"/>
    <w:bookmarkStart w:id="35" w:name="_MON_1647251299"/>
    <w:bookmarkEnd w:id="35"/>
    <w:p w14:paraId="78994F18" w14:textId="59E4B671" w:rsidR="00F72849" w:rsidRPr="00085B4C" w:rsidRDefault="00BC202E" w:rsidP="00F72849">
      <w:pPr>
        <w:tabs>
          <w:tab w:val="left" w:pos="-180"/>
        </w:tabs>
        <w:spacing w:before="240" w:after="0" w:line="240" w:lineRule="auto"/>
        <w:ind w:right="-28"/>
        <w:rPr>
          <w:rFonts w:cstheme="minorHAnsi"/>
          <w:iCs/>
          <w:sz w:val="24"/>
          <w:szCs w:val="24"/>
        </w:rPr>
      </w:pPr>
      <w:r w:rsidRPr="00D3289C">
        <w:rPr>
          <w:rFonts w:cstheme="minorHAnsi"/>
          <w:iCs/>
          <w:sz w:val="24"/>
          <w:szCs w:val="24"/>
          <w:highlight w:val="lightGray"/>
        </w:rPr>
        <w:object w:dxaOrig="8324" w:dyaOrig="2388" w14:anchorId="524338D5">
          <v:shape id="_x0000_i1030" type="#_x0000_t75" style="width:415.05pt;height:114.65pt" o:ole="">
            <v:imagedata r:id="rId18" o:title=""/>
          </v:shape>
          <o:OLEObject Type="Embed" ProgID="Excel.Sheet.12" ShapeID="_x0000_i1030" DrawAspect="Content" ObjectID="_1778063310" r:id="rId19"/>
        </w:object>
      </w:r>
      <w:bookmarkEnd w:id="34"/>
    </w:p>
    <w:p w14:paraId="2C7C4734" w14:textId="01BE0821" w:rsidR="00F72849" w:rsidRPr="002A5E85" w:rsidRDefault="00F72849" w:rsidP="00F72849">
      <w:pPr>
        <w:tabs>
          <w:tab w:val="left" w:pos="-180"/>
        </w:tabs>
        <w:spacing w:before="240" w:after="0" w:line="240" w:lineRule="auto"/>
        <w:ind w:right="-28"/>
        <w:jc w:val="both"/>
        <w:rPr>
          <w:rFonts w:cstheme="minorHAnsi"/>
          <w:iCs/>
          <w:color w:val="000000"/>
          <w:sz w:val="24"/>
          <w:szCs w:val="24"/>
        </w:rPr>
      </w:pPr>
      <w:r w:rsidRPr="002A5E85">
        <w:rPr>
          <w:rFonts w:cstheme="minorHAnsi"/>
          <w:b/>
          <w:bCs/>
          <w:iCs/>
          <w:color w:val="000000"/>
          <w:sz w:val="24"/>
          <w:szCs w:val="24"/>
        </w:rPr>
        <w:t>/i/</w:t>
      </w:r>
      <w:r w:rsidRPr="002A5E85">
        <w:rPr>
          <w:rFonts w:cstheme="minorHAnsi"/>
          <w:b/>
          <w:bCs/>
          <w:iCs/>
          <w:color w:val="000000"/>
          <w:sz w:val="24"/>
          <w:szCs w:val="24"/>
        </w:rPr>
        <w:tab/>
      </w:r>
      <w:r w:rsidRPr="002A5E85">
        <w:rPr>
          <w:rFonts w:cstheme="minorHAnsi"/>
          <w:iCs/>
          <w:color w:val="000000"/>
          <w:sz w:val="24"/>
          <w:szCs w:val="24"/>
        </w:rPr>
        <w:t>U 202</w:t>
      </w:r>
      <w:r w:rsidR="00D3289C" w:rsidRPr="002A5E85">
        <w:rPr>
          <w:rFonts w:cstheme="minorHAnsi"/>
          <w:iCs/>
          <w:color w:val="000000"/>
          <w:sz w:val="24"/>
          <w:szCs w:val="24"/>
        </w:rPr>
        <w:t>3</w:t>
      </w:r>
      <w:r w:rsidRPr="002A5E85">
        <w:rPr>
          <w:rFonts w:cstheme="minorHAnsi"/>
          <w:iCs/>
          <w:color w:val="000000"/>
          <w:sz w:val="24"/>
          <w:szCs w:val="24"/>
        </w:rPr>
        <w:t xml:space="preserve">. godini ostvareni su ukupni prihodi u iznosu od </w:t>
      </w:r>
      <w:r w:rsidR="00D3289C" w:rsidRPr="002A5E85">
        <w:rPr>
          <w:rFonts w:cstheme="minorHAnsi"/>
          <w:iCs/>
          <w:color w:val="000000"/>
          <w:sz w:val="24"/>
          <w:szCs w:val="24"/>
        </w:rPr>
        <w:t>6.734.047,18 eur</w:t>
      </w:r>
      <w:r w:rsidRPr="002A5E85">
        <w:rPr>
          <w:rFonts w:cstheme="minorHAnsi"/>
          <w:iCs/>
          <w:color w:val="000000"/>
          <w:sz w:val="24"/>
          <w:szCs w:val="24"/>
        </w:rPr>
        <w:t xml:space="preserve"> (202</w:t>
      </w:r>
      <w:r w:rsidR="00D3289C" w:rsidRPr="002A5E85">
        <w:rPr>
          <w:rFonts w:cstheme="minorHAnsi"/>
          <w:iCs/>
          <w:color w:val="000000"/>
          <w:sz w:val="24"/>
          <w:szCs w:val="24"/>
        </w:rPr>
        <w:t>2</w:t>
      </w:r>
      <w:r w:rsidRPr="002A5E85">
        <w:rPr>
          <w:rFonts w:cstheme="minorHAnsi"/>
          <w:iCs/>
          <w:color w:val="000000"/>
          <w:sz w:val="24"/>
          <w:szCs w:val="24"/>
        </w:rPr>
        <w:t xml:space="preserve">.: </w:t>
      </w:r>
      <w:r w:rsidR="00D3289C" w:rsidRPr="002A5E85">
        <w:rPr>
          <w:rFonts w:cstheme="minorHAnsi"/>
          <w:iCs/>
          <w:color w:val="000000"/>
          <w:sz w:val="24"/>
          <w:szCs w:val="24"/>
        </w:rPr>
        <w:t>6.314.312,40 eur</w:t>
      </w:r>
      <w:r w:rsidRPr="002A5E85">
        <w:rPr>
          <w:rFonts w:cstheme="minorHAnsi"/>
          <w:iCs/>
          <w:color w:val="000000"/>
          <w:sz w:val="24"/>
          <w:szCs w:val="24"/>
        </w:rPr>
        <w:t xml:space="preserve">), ukupni troškovi od </w:t>
      </w:r>
      <w:r w:rsidR="002A5E85" w:rsidRPr="002A5E85">
        <w:rPr>
          <w:rFonts w:cstheme="minorHAnsi"/>
          <w:iCs/>
          <w:color w:val="000000"/>
          <w:sz w:val="24"/>
          <w:szCs w:val="24"/>
        </w:rPr>
        <w:t>6.170.912,64</w:t>
      </w:r>
      <w:r w:rsidR="00D3289C" w:rsidRPr="002A5E85">
        <w:rPr>
          <w:rFonts w:cstheme="minorHAnsi"/>
          <w:iCs/>
          <w:color w:val="000000"/>
          <w:sz w:val="24"/>
          <w:szCs w:val="24"/>
        </w:rPr>
        <w:t xml:space="preserve"> eur</w:t>
      </w:r>
      <w:r w:rsidRPr="002A5E85">
        <w:rPr>
          <w:rFonts w:cstheme="minorHAnsi"/>
          <w:iCs/>
          <w:color w:val="000000"/>
          <w:sz w:val="24"/>
          <w:szCs w:val="24"/>
        </w:rPr>
        <w:t xml:space="preserve"> (202</w:t>
      </w:r>
      <w:r w:rsidR="00D3289C" w:rsidRPr="002A5E85">
        <w:rPr>
          <w:rFonts w:cstheme="minorHAnsi"/>
          <w:iCs/>
          <w:color w:val="000000"/>
          <w:sz w:val="24"/>
          <w:szCs w:val="24"/>
        </w:rPr>
        <w:t>2</w:t>
      </w:r>
      <w:r w:rsidRPr="002A5E85">
        <w:rPr>
          <w:rFonts w:cstheme="minorHAnsi"/>
          <w:iCs/>
          <w:color w:val="000000"/>
          <w:sz w:val="24"/>
          <w:szCs w:val="24"/>
        </w:rPr>
        <w:t xml:space="preserve">.: </w:t>
      </w:r>
      <w:r w:rsidR="00D3289C" w:rsidRPr="002A5E85">
        <w:rPr>
          <w:rFonts w:cstheme="minorHAnsi"/>
          <w:iCs/>
          <w:color w:val="000000"/>
          <w:sz w:val="24"/>
          <w:szCs w:val="24"/>
        </w:rPr>
        <w:t>5.801.895,08 eur</w:t>
      </w:r>
      <w:r w:rsidRPr="002A5E85">
        <w:rPr>
          <w:rFonts w:cstheme="minorHAnsi"/>
          <w:iCs/>
          <w:color w:val="000000"/>
          <w:sz w:val="24"/>
          <w:szCs w:val="24"/>
        </w:rPr>
        <w:t xml:space="preserve">) te je ostvaren dobitak prije poreza u iznosu od </w:t>
      </w:r>
      <w:r w:rsidR="00D3289C" w:rsidRPr="002A5E85">
        <w:rPr>
          <w:rFonts w:cstheme="minorHAnsi"/>
          <w:iCs/>
          <w:color w:val="000000"/>
          <w:sz w:val="24"/>
          <w:szCs w:val="24"/>
        </w:rPr>
        <w:t>563.</w:t>
      </w:r>
      <w:r w:rsidR="002A5E85" w:rsidRPr="002A5E85">
        <w:rPr>
          <w:rFonts w:cstheme="minorHAnsi"/>
          <w:iCs/>
          <w:color w:val="000000"/>
          <w:sz w:val="24"/>
          <w:szCs w:val="24"/>
        </w:rPr>
        <w:t>134,54</w:t>
      </w:r>
      <w:r w:rsidR="00D3289C" w:rsidRPr="002A5E85">
        <w:rPr>
          <w:rFonts w:cstheme="minorHAnsi"/>
          <w:iCs/>
          <w:color w:val="000000"/>
          <w:sz w:val="24"/>
          <w:szCs w:val="24"/>
        </w:rPr>
        <w:t xml:space="preserve"> eur</w:t>
      </w:r>
      <w:r w:rsidRPr="002A5E85">
        <w:rPr>
          <w:rFonts w:cstheme="minorHAnsi"/>
          <w:iCs/>
          <w:color w:val="000000"/>
          <w:sz w:val="24"/>
          <w:szCs w:val="24"/>
        </w:rPr>
        <w:t xml:space="preserve"> (202</w:t>
      </w:r>
      <w:r w:rsidR="00D3289C" w:rsidRPr="002A5E85">
        <w:rPr>
          <w:rFonts w:cstheme="minorHAnsi"/>
          <w:iCs/>
          <w:color w:val="000000"/>
          <w:sz w:val="24"/>
          <w:szCs w:val="24"/>
        </w:rPr>
        <w:t>2</w:t>
      </w:r>
      <w:r w:rsidRPr="002A5E85">
        <w:rPr>
          <w:rFonts w:cstheme="minorHAnsi"/>
          <w:iCs/>
          <w:color w:val="000000"/>
          <w:sz w:val="24"/>
          <w:szCs w:val="24"/>
        </w:rPr>
        <w:t xml:space="preserve">.: </w:t>
      </w:r>
      <w:r w:rsidR="00D3289C" w:rsidRPr="002A5E85">
        <w:rPr>
          <w:rFonts w:cstheme="minorHAnsi"/>
          <w:iCs/>
          <w:color w:val="000000"/>
          <w:sz w:val="24"/>
          <w:szCs w:val="24"/>
        </w:rPr>
        <w:t>512.417,32 eur</w:t>
      </w:r>
      <w:r w:rsidRPr="002A5E85">
        <w:rPr>
          <w:rFonts w:cstheme="minorHAnsi"/>
          <w:iCs/>
          <w:color w:val="000000"/>
          <w:sz w:val="24"/>
          <w:szCs w:val="24"/>
        </w:rPr>
        <w:t xml:space="preserve">). </w:t>
      </w:r>
    </w:p>
    <w:p w14:paraId="36C4568E" w14:textId="5119D3B3" w:rsidR="00F72849" w:rsidRPr="00F62E89" w:rsidRDefault="00F72849" w:rsidP="00F72849">
      <w:pPr>
        <w:tabs>
          <w:tab w:val="left" w:pos="-180"/>
        </w:tabs>
        <w:spacing w:before="240" w:after="0" w:line="240" w:lineRule="auto"/>
        <w:ind w:right="-28"/>
        <w:jc w:val="both"/>
        <w:rPr>
          <w:rFonts w:cstheme="minorHAnsi"/>
          <w:iCs/>
          <w:color w:val="FF0000"/>
          <w:sz w:val="24"/>
          <w:szCs w:val="24"/>
        </w:rPr>
      </w:pPr>
      <w:bookmarkStart w:id="36" w:name="_Hlk102387333"/>
      <w:r w:rsidRPr="008B55EC">
        <w:rPr>
          <w:rFonts w:cstheme="minorHAnsi"/>
          <w:iCs/>
          <w:sz w:val="24"/>
          <w:szCs w:val="24"/>
        </w:rPr>
        <w:t xml:space="preserve">Sukladno Zakonu o porezu na dobit i Pravilniku o porezu na dobit, Društvo je razliku prihoda i rashoda uvećalo za porezno nepriznate rashode u iznosu od </w:t>
      </w:r>
      <w:r w:rsidR="002A5E85" w:rsidRPr="008B55EC">
        <w:rPr>
          <w:rFonts w:cstheme="minorHAnsi"/>
          <w:iCs/>
          <w:sz w:val="24"/>
          <w:szCs w:val="24"/>
        </w:rPr>
        <w:t>7.028,57 eur</w:t>
      </w:r>
      <w:r w:rsidRPr="008B55EC">
        <w:rPr>
          <w:rFonts w:cstheme="minorHAnsi"/>
          <w:iCs/>
          <w:sz w:val="24"/>
          <w:szCs w:val="24"/>
        </w:rPr>
        <w:t xml:space="preserve"> (202</w:t>
      </w:r>
      <w:r w:rsidR="002A5E85" w:rsidRPr="008B55EC">
        <w:rPr>
          <w:rFonts w:cstheme="minorHAnsi"/>
          <w:iCs/>
          <w:sz w:val="24"/>
          <w:szCs w:val="24"/>
        </w:rPr>
        <w:t>2</w:t>
      </w:r>
      <w:r w:rsidRPr="008B55EC">
        <w:rPr>
          <w:rFonts w:cstheme="minorHAnsi"/>
          <w:iCs/>
          <w:sz w:val="24"/>
          <w:szCs w:val="24"/>
        </w:rPr>
        <w:t xml:space="preserve">.: </w:t>
      </w:r>
      <w:r w:rsidR="002A5E85" w:rsidRPr="008B55EC">
        <w:rPr>
          <w:rFonts w:cstheme="minorHAnsi"/>
          <w:iCs/>
          <w:sz w:val="24"/>
          <w:szCs w:val="24"/>
        </w:rPr>
        <w:t>9.703,62 eur</w:t>
      </w:r>
      <w:r w:rsidRPr="008B55EC">
        <w:rPr>
          <w:rFonts w:cstheme="minorHAnsi"/>
          <w:iCs/>
          <w:sz w:val="24"/>
          <w:szCs w:val="24"/>
        </w:rPr>
        <w:t xml:space="preserve">), umanjilo za porezno priznate rashode u iznosu od </w:t>
      </w:r>
      <w:r w:rsidR="002A5E85" w:rsidRPr="008B55EC">
        <w:rPr>
          <w:rFonts w:cstheme="minorHAnsi"/>
          <w:iCs/>
          <w:sz w:val="24"/>
          <w:szCs w:val="24"/>
        </w:rPr>
        <w:t>4.446,12 eur</w:t>
      </w:r>
      <w:r w:rsidRPr="008B55EC">
        <w:rPr>
          <w:rFonts w:cstheme="minorHAnsi"/>
          <w:iCs/>
          <w:sz w:val="24"/>
          <w:szCs w:val="24"/>
        </w:rPr>
        <w:t xml:space="preserve"> (202</w:t>
      </w:r>
      <w:r w:rsidR="002A5E85" w:rsidRPr="008B55EC">
        <w:rPr>
          <w:rFonts w:cstheme="minorHAnsi"/>
          <w:iCs/>
          <w:sz w:val="24"/>
          <w:szCs w:val="24"/>
        </w:rPr>
        <w:t>2</w:t>
      </w:r>
      <w:r w:rsidRPr="008B55EC">
        <w:rPr>
          <w:rFonts w:cstheme="minorHAnsi"/>
          <w:iCs/>
          <w:sz w:val="24"/>
          <w:szCs w:val="24"/>
        </w:rPr>
        <w:t xml:space="preserve">.: </w:t>
      </w:r>
      <w:r w:rsidR="002A5E85" w:rsidRPr="008B55EC">
        <w:rPr>
          <w:rFonts w:cstheme="minorHAnsi"/>
          <w:iCs/>
          <w:sz w:val="24"/>
          <w:szCs w:val="24"/>
        </w:rPr>
        <w:t>6.632,45 eur</w:t>
      </w:r>
      <w:r w:rsidRPr="008B55EC">
        <w:rPr>
          <w:rFonts w:cstheme="minorHAnsi"/>
          <w:iCs/>
          <w:sz w:val="24"/>
          <w:szCs w:val="24"/>
        </w:rPr>
        <w:t xml:space="preserve">) te je tako </w:t>
      </w:r>
      <w:r w:rsidRPr="001B498B">
        <w:rPr>
          <w:rFonts w:cstheme="minorHAnsi"/>
          <w:iCs/>
          <w:sz w:val="24"/>
          <w:szCs w:val="24"/>
        </w:rPr>
        <w:t xml:space="preserve">utvrđena oporeziva dobit od </w:t>
      </w:r>
      <w:r w:rsidR="002A5E85" w:rsidRPr="001B498B">
        <w:rPr>
          <w:rFonts w:cstheme="minorHAnsi"/>
          <w:iCs/>
          <w:sz w:val="24"/>
          <w:szCs w:val="24"/>
        </w:rPr>
        <w:t>565.716,99 eur</w:t>
      </w:r>
      <w:r w:rsidRPr="001B498B">
        <w:rPr>
          <w:rFonts w:cstheme="minorHAnsi"/>
          <w:iCs/>
          <w:sz w:val="24"/>
          <w:szCs w:val="24"/>
        </w:rPr>
        <w:t xml:space="preserve"> (202</w:t>
      </w:r>
      <w:r w:rsidR="002A5E85" w:rsidRPr="001B498B">
        <w:rPr>
          <w:rFonts w:cstheme="minorHAnsi"/>
          <w:iCs/>
          <w:sz w:val="24"/>
          <w:szCs w:val="24"/>
        </w:rPr>
        <w:t>2</w:t>
      </w:r>
      <w:r w:rsidRPr="001B498B">
        <w:rPr>
          <w:rFonts w:cstheme="minorHAnsi"/>
          <w:iCs/>
          <w:sz w:val="24"/>
          <w:szCs w:val="24"/>
        </w:rPr>
        <w:t xml:space="preserve">.: </w:t>
      </w:r>
      <w:r w:rsidR="002A5E85" w:rsidRPr="001B498B">
        <w:rPr>
          <w:rFonts w:cstheme="minorHAnsi"/>
          <w:iCs/>
          <w:sz w:val="24"/>
          <w:szCs w:val="24"/>
        </w:rPr>
        <w:t>oporeziva dobit 512.578,11 eur</w:t>
      </w:r>
      <w:r w:rsidRPr="001B498B">
        <w:rPr>
          <w:rFonts w:cstheme="minorHAnsi"/>
          <w:iCs/>
          <w:sz w:val="24"/>
          <w:szCs w:val="24"/>
        </w:rPr>
        <w:t>)</w:t>
      </w:r>
      <w:r w:rsidR="001B498B" w:rsidRPr="001B498B">
        <w:rPr>
          <w:rFonts w:cstheme="minorHAnsi"/>
          <w:iCs/>
          <w:sz w:val="24"/>
          <w:szCs w:val="24"/>
        </w:rPr>
        <w:t>. Društvo iskazuje poreznu obvezu u iznosu od 101.829,06 eur</w:t>
      </w:r>
      <w:r w:rsidRPr="001B498B">
        <w:rPr>
          <w:rFonts w:cstheme="minorHAnsi"/>
          <w:iCs/>
          <w:sz w:val="24"/>
          <w:szCs w:val="24"/>
        </w:rPr>
        <w:t>.</w:t>
      </w:r>
      <w:r w:rsidRPr="001A55CC">
        <w:rPr>
          <w:rFonts w:cstheme="minorHAnsi"/>
          <w:iCs/>
          <w:sz w:val="24"/>
          <w:szCs w:val="24"/>
        </w:rPr>
        <w:t xml:space="preserve"> </w:t>
      </w:r>
    </w:p>
    <w:bookmarkEnd w:id="36"/>
    <w:p w14:paraId="69A97835" w14:textId="77777777" w:rsidR="007E1E44" w:rsidRPr="007E1E44" w:rsidRDefault="00F72849" w:rsidP="00F72849">
      <w:pPr>
        <w:tabs>
          <w:tab w:val="left" w:pos="-180"/>
        </w:tabs>
        <w:spacing w:before="240" w:after="0" w:line="240" w:lineRule="auto"/>
        <w:ind w:right="-28"/>
        <w:jc w:val="both"/>
        <w:rPr>
          <w:rFonts w:cstheme="minorHAnsi"/>
          <w:iCs/>
          <w:sz w:val="24"/>
          <w:szCs w:val="24"/>
        </w:rPr>
      </w:pPr>
      <w:r w:rsidRPr="008B55EC">
        <w:rPr>
          <w:rFonts w:cstheme="minorHAnsi"/>
          <w:iCs/>
          <w:color w:val="000000"/>
          <w:sz w:val="24"/>
          <w:szCs w:val="24"/>
        </w:rPr>
        <w:t xml:space="preserve">U odnosu na prethodnu godinu prihodi su veći za </w:t>
      </w:r>
      <w:r w:rsidR="001E0E65" w:rsidRPr="008B55EC">
        <w:rPr>
          <w:rFonts w:cstheme="minorHAnsi"/>
          <w:iCs/>
          <w:color w:val="000000"/>
          <w:sz w:val="24"/>
          <w:szCs w:val="24"/>
        </w:rPr>
        <w:t>7</w:t>
      </w:r>
      <w:r w:rsidRPr="008B55EC">
        <w:rPr>
          <w:rFonts w:cstheme="minorHAnsi"/>
          <w:iCs/>
          <w:color w:val="000000"/>
          <w:sz w:val="24"/>
          <w:szCs w:val="24"/>
        </w:rPr>
        <w:t>% (202</w:t>
      </w:r>
      <w:r w:rsidR="001E0E65" w:rsidRPr="008B55EC">
        <w:rPr>
          <w:rFonts w:cstheme="minorHAnsi"/>
          <w:iCs/>
          <w:color w:val="000000"/>
          <w:sz w:val="24"/>
          <w:szCs w:val="24"/>
        </w:rPr>
        <w:t>2</w:t>
      </w:r>
      <w:r w:rsidRPr="008B55EC">
        <w:rPr>
          <w:rFonts w:cstheme="minorHAnsi"/>
          <w:iCs/>
          <w:color w:val="000000"/>
          <w:sz w:val="24"/>
          <w:szCs w:val="24"/>
        </w:rPr>
        <w:t xml:space="preserve">. veći za </w:t>
      </w:r>
      <w:r w:rsidR="001E0E65" w:rsidRPr="008B55EC">
        <w:rPr>
          <w:rFonts w:cstheme="minorHAnsi"/>
          <w:iCs/>
          <w:color w:val="000000"/>
          <w:sz w:val="24"/>
          <w:szCs w:val="24"/>
        </w:rPr>
        <w:t>24</w:t>
      </w:r>
      <w:r w:rsidRPr="008B55EC">
        <w:rPr>
          <w:rFonts w:cstheme="minorHAnsi"/>
          <w:iCs/>
          <w:color w:val="000000"/>
          <w:sz w:val="24"/>
          <w:szCs w:val="24"/>
        </w:rPr>
        <w:t>% prema 202</w:t>
      </w:r>
      <w:r w:rsidR="001E0E65" w:rsidRPr="008B55EC">
        <w:rPr>
          <w:rFonts w:cstheme="minorHAnsi"/>
          <w:iCs/>
          <w:color w:val="000000"/>
          <w:sz w:val="24"/>
          <w:szCs w:val="24"/>
        </w:rPr>
        <w:t>1</w:t>
      </w:r>
      <w:r w:rsidRPr="008B55EC">
        <w:rPr>
          <w:rFonts w:cstheme="minorHAnsi"/>
          <w:iCs/>
          <w:color w:val="000000"/>
          <w:sz w:val="24"/>
          <w:szCs w:val="24"/>
        </w:rPr>
        <w:t xml:space="preserve">.), a </w:t>
      </w:r>
      <w:r w:rsidRPr="007E1E44">
        <w:rPr>
          <w:rFonts w:cstheme="minorHAnsi"/>
          <w:iCs/>
          <w:color w:val="000000"/>
          <w:sz w:val="24"/>
          <w:szCs w:val="24"/>
        </w:rPr>
        <w:t xml:space="preserve">rashodi za </w:t>
      </w:r>
      <w:r w:rsidR="008B55EC" w:rsidRPr="007E1E44">
        <w:rPr>
          <w:rFonts w:cstheme="minorHAnsi"/>
          <w:iCs/>
          <w:color w:val="000000"/>
          <w:sz w:val="24"/>
          <w:szCs w:val="24"/>
        </w:rPr>
        <w:t>6</w:t>
      </w:r>
      <w:r w:rsidRPr="007E1E44">
        <w:rPr>
          <w:rFonts w:cstheme="minorHAnsi"/>
          <w:iCs/>
          <w:color w:val="000000"/>
          <w:sz w:val="24"/>
          <w:szCs w:val="24"/>
        </w:rPr>
        <w:t>% (202</w:t>
      </w:r>
      <w:r w:rsidR="001E0E65" w:rsidRPr="007E1E44">
        <w:rPr>
          <w:rFonts w:cstheme="minorHAnsi"/>
          <w:iCs/>
          <w:color w:val="000000"/>
          <w:sz w:val="24"/>
          <w:szCs w:val="24"/>
        </w:rPr>
        <w:t>2</w:t>
      </w:r>
      <w:r w:rsidRPr="007E1E44">
        <w:rPr>
          <w:rFonts w:cstheme="minorHAnsi"/>
          <w:iCs/>
          <w:color w:val="000000"/>
          <w:sz w:val="24"/>
          <w:szCs w:val="24"/>
        </w:rPr>
        <w:t>.: veći za 14% prema 202</w:t>
      </w:r>
      <w:r w:rsidR="001E0E65" w:rsidRPr="007E1E44">
        <w:rPr>
          <w:rFonts w:cstheme="minorHAnsi"/>
          <w:iCs/>
          <w:color w:val="000000"/>
          <w:sz w:val="24"/>
          <w:szCs w:val="24"/>
        </w:rPr>
        <w:t>1</w:t>
      </w:r>
      <w:r w:rsidRPr="007E1E44">
        <w:rPr>
          <w:rFonts w:cstheme="minorHAnsi"/>
          <w:iCs/>
          <w:color w:val="000000"/>
          <w:sz w:val="24"/>
          <w:szCs w:val="24"/>
        </w:rPr>
        <w:t xml:space="preserve">.). </w:t>
      </w:r>
      <w:r w:rsidR="005738A2" w:rsidRPr="007E1E44">
        <w:rPr>
          <w:rFonts w:cstheme="minorHAnsi"/>
          <w:iCs/>
          <w:sz w:val="24"/>
          <w:szCs w:val="24"/>
        </w:rPr>
        <w:t>Povećanje</w:t>
      </w:r>
      <w:r w:rsidRPr="007E1E44">
        <w:rPr>
          <w:rFonts w:cstheme="minorHAnsi"/>
          <w:iCs/>
          <w:sz w:val="24"/>
          <w:szCs w:val="24"/>
        </w:rPr>
        <w:t xml:space="preserve"> prihod</w:t>
      </w:r>
      <w:r w:rsidR="005738A2" w:rsidRPr="007E1E44">
        <w:rPr>
          <w:rFonts w:cstheme="minorHAnsi"/>
          <w:iCs/>
          <w:sz w:val="24"/>
          <w:szCs w:val="24"/>
        </w:rPr>
        <w:t>a</w:t>
      </w:r>
      <w:r w:rsidRPr="007E1E44">
        <w:rPr>
          <w:rFonts w:cstheme="minorHAnsi"/>
          <w:iCs/>
          <w:sz w:val="24"/>
          <w:szCs w:val="24"/>
        </w:rPr>
        <w:t xml:space="preserve"> ostvaren</w:t>
      </w:r>
      <w:r w:rsidR="005738A2" w:rsidRPr="007E1E44">
        <w:rPr>
          <w:rFonts w:cstheme="minorHAnsi"/>
          <w:iCs/>
          <w:sz w:val="24"/>
          <w:szCs w:val="24"/>
        </w:rPr>
        <w:t xml:space="preserve">o je </w:t>
      </w:r>
      <w:r w:rsidRPr="007E1E44">
        <w:rPr>
          <w:rFonts w:cstheme="minorHAnsi"/>
          <w:iCs/>
          <w:sz w:val="24"/>
          <w:szCs w:val="24"/>
        </w:rPr>
        <w:t xml:space="preserve">iz osnovne djelatnosti </w:t>
      </w:r>
      <w:r w:rsidR="001A55CC" w:rsidRPr="007E1E44">
        <w:rPr>
          <w:rFonts w:cstheme="minorHAnsi"/>
          <w:iCs/>
          <w:sz w:val="24"/>
          <w:szCs w:val="24"/>
        </w:rPr>
        <w:t>gospodarenja</w:t>
      </w:r>
      <w:r w:rsidRPr="007E1E44">
        <w:rPr>
          <w:rFonts w:cstheme="minorHAnsi"/>
          <w:iCs/>
          <w:sz w:val="24"/>
          <w:szCs w:val="24"/>
        </w:rPr>
        <w:t xml:space="preserve"> otpad</w:t>
      </w:r>
      <w:r w:rsidR="001A55CC" w:rsidRPr="007E1E44">
        <w:rPr>
          <w:rFonts w:cstheme="minorHAnsi"/>
          <w:iCs/>
          <w:sz w:val="24"/>
          <w:szCs w:val="24"/>
        </w:rPr>
        <w:t>om</w:t>
      </w:r>
      <w:r w:rsidRPr="007E1E44">
        <w:rPr>
          <w:rFonts w:cstheme="minorHAnsi"/>
          <w:iCs/>
          <w:sz w:val="24"/>
          <w:szCs w:val="24"/>
        </w:rPr>
        <w:t xml:space="preserve"> zbog primjene novog cjenika od svibnja 2022. godine</w:t>
      </w:r>
      <w:r w:rsidR="001A55CC" w:rsidRPr="007E1E44">
        <w:rPr>
          <w:rFonts w:cstheme="minorHAnsi"/>
          <w:iCs/>
          <w:sz w:val="24"/>
          <w:szCs w:val="24"/>
        </w:rPr>
        <w:t>.</w:t>
      </w:r>
      <w:r w:rsidR="007E1E44" w:rsidRPr="007E1E44">
        <w:rPr>
          <w:rFonts w:cstheme="minorHAnsi"/>
          <w:iCs/>
          <w:sz w:val="24"/>
          <w:szCs w:val="24"/>
        </w:rPr>
        <w:t xml:space="preserve"> </w:t>
      </w:r>
    </w:p>
    <w:p w14:paraId="23A75A70" w14:textId="01FF076D" w:rsidR="00F72849" w:rsidRPr="00F00328" w:rsidRDefault="001A55CC" w:rsidP="007E1E44">
      <w:pPr>
        <w:tabs>
          <w:tab w:val="left" w:pos="-180"/>
        </w:tabs>
        <w:spacing w:after="0" w:line="240" w:lineRule="auto"/>
        <w:ind w:right="-28"/>
        <w:jc w:val="both"/>
        <w:rPr>
          <w:rFonts w:cstheme="minorHAnsi"/>
          <w:iCs/>
          <w:sz w:val="24"/>
          <w:szCs w:val="24"/>
        </w:rPr>
      </w:pPr>
      <w:r w:rsidRPr="007E1E44">
        <w:rPr>
          <w:rFonts w:cstheme="minorHAnsi"/>
          <w:iCs/>
          <w:sz w:val="24"/>
          <w:szCs w:val="24"/>
        </w:rPr>
        <w:t>Iako je trošak odvoza miješanog komunalnog otpada u Županijski centar za gospodarenje otpadom Marišćina manji od proš</w:t>
      </w:r>
      <w:r w:rsidR="00DB694C">
        <w:rPr>
          <w:rFonts w:cstheme="minorHAnsi"/>
          <w:iCs/>
          <w:sz w:val="24"/>
          <w:szCs w:val="24"/>
        </w:rPr>
        <w:t>l</w:t>
      </w:r>
      <w:r w:rsidRPr="007E1E44">
        <w:rPr>
          <w:rFonts w:cstheme="minorHAnsi"/>
          <w:iCs/>
          <w:sz w:val="24"/>
          <w:szCs w:val="24"/>
        </w:rPr>
        <w:t>og</w:t>
      </w:r>
      <w:r w:rsidR="00DB694C">
        <w:rPr>
          <w:rFonts w:cstheme="minorHAnsi"/>
          <w:iCs/>
          <w:sz w:val="24"/>
          <w:szCs w:val="24"/>
        </w:rPr>
        <w:t>o</w:t>
      </w:r>
      <w:r w:rsidRPr="007E1E44">
        <w:rPr>
          <w:rFonts w:cstheme="minorHAnsi"/>
          <w:iCs/>
          <w:sz w:val="24"/>
          <w:szCs w:val="24"/>
        </w:rPr>
        <w:t>d</w:t>
      </w:r>
      <w:r w:rsidR="008A5C13">
        <w:rPr>
          <w:rFonts w:cstheme="minorHAnsi"/>
          <w:iCs/>
          <w:sz w:val="24"/>
          <w:szCs w:val="24"/>
        </w:rPr>
        <w:t>i</w:t>
      </w:r>
      <w:r w:rsidRPr="007E1E44">
        <w:rPr>
          <w:rFonts w:cstheme="minorHAnsi"/>
          <w:iCs/>
          <w:sz w:val="24"/>
          <w:szCs w:val="24"/>
        </w:rPr>
        <w:t>šnjeg, ukupni</w:t>
      </w:r>
      <w:r w:rsidR="00F72849" w:rsidRPr="007E1E44">
        <w:rPr>
          <w:rFonts w:cstheme="minorHAnsi"/>
          <w:iCs/>
          <w:sz w:val="24"/>
          <w:szCs w:val="24"/>
        </w:rPr>
        <w:t xml:space="preserve"> </w:t>
      </w:r>
      <w:r w:rsidRPr="007E1E44">
        <w:rPr>
          <w:rFonts w:cstheme="minorHAnsi"/>
          <w:iCs/>
          <w:sz w:val="24"/>
          <w:szCs w:val="24"/>
        </w:rPr>
        <w:t>rashodi su se povećali zbog povećan</w:t>
      </w:r>
      <w:r w:rsidR="007E1E44" w:rsidRPr="007E1E44">
        <w:rPr>
          <w:rFonts w:cstheme="minorHAnsi"/>
          <w:iCs/>
          <w:sz w:val="24"/>
          <w:szCs w:val="24"/>
        </w:rPr>
        <w:t>ih</w:t>
      </w:r>
      <w:r w:rsidRPr="007E1E44">
        <w:rPr>
          <w:rFonts w:cstheme="minorHAnsi"/>
          <w:iCs/>
          <w:sz w:val="24"/>
          <w:szCs w:val="24"/>
        </w:rPr>
        <w:t xml:space="preserve"> troškova bruto plaća i doprinosa na bruto plaće, troškova zbrinjavanja glomaznog otpada i </w:t>
      </w:r>
      <w:r w:rsidR="007E1E44" w:rsidRPr="007E1E44">
        <w:rPr>
          <w:rFonts w:cstheme="minorHAnsi"/>
          <w:iCs/>
          <w:sz w:val="24"/>
          <w:szCs w:val="24"/>
        </w:rPr>
        <w:t xml:space="preserve">troškova </w:t>
      </w:r>
      <w:r w:rsidRPr="007E1E44">
        <w:rPr>
          <w:rFonts w:cstheme="minorHAnsi"/>
          <w:iCs/>
          <w:sz w:val="24"/>
          <w:szCs w:val="24"/>
        </w:rPr>
        <w:t>održavanja posebni</w:t>
      </w:r>
      <w:r w:rsidR="008A5C13">
        <w:rPr>
          <w:rFonts w:cstheme="minorHAnsi"/>
          <w:iCs/>
          <w:sz w:val="24"/>
          <w:szCs w:val="24"/>
        </w:rPr>
        <w:t>h</w:t>
      </w:r>
      <w:r w:rsidRPr="007E1E44">
        <w:rPr>
          <w:rFonts w:cstheme="minorHAnsi"/>
          <w:iCs/>
          <w:sz w:val="24"/>
          <w:szCs w:val="24"/>
        </w:rPr>
        <w:t xml:space="preserve"> sabirni</w:t>
      </w:r>
      <w:r w:rsidR="008A5C13">
        <w:rPr>
          <w:rFonts w:cstheme="minorHAnsi"/>
          <w:iCs/>
          <w:sz w:val="24"/>
          <w:szCs w:val="24"/>
        </w:rPr>
        <w:t>h</w:t>
      </w:r>
      <w:r w:rsidRPr="007E1E44">
        <w:rPr>
          <w:rFonts w:cstheme="minorHAnsi"/>
          <w:iCs/>
          <w:sz w:val="24"/>
          <w:szCs w:val="24"/>
        </w:rPr>
        <w:t xml:space="preserve"> mjesta i reciklažni</w:t>
      </w:r>
      <w:r w:rsidR="008A5C13">
        <w:rPr>
          <w:rFonts w:cstheme="minorHAnsi"/>
          <w:iCs/>
          <w:sz w:val="24"/>
          <w:szCs w:val="24"/>
        </w:rPr>
        <w:t>h</w:t>
      </w:r>
      <w:r w:rsidRPr="007E1E44">
        <w:rPr>
          <w:rFonts w:cstheme="minorHAnsi"/>
          <w:iCs/>
          <w:sz w:val="24"/>
          <w:szCs w:val="24"/>
        </w:rPr>
        <w:t xml:space="preserve"> dvorišta.</w:t>
      </w:r>
    </w:p>
    <w:p w14:paraId="66453E1F" w14:textId="77777777" w:rsidR="00F72849" w:rsidRDefault="00F72849" w:rsidP="00F72849">
      <w:pPr>
        <w:tabs>
          <w:tab w:val="left" w:pos="-180"/>
        </w:tabs>
        <w:spacing w:before="240" w:after="0" w:line="240" w:lineRule="auto"/>
        <w:ind w:right="-28"/>
        <w:jc w:val="both"/>
        <w:rPr>
          <w:rFonts w:cstheme="minorHAnsi"/>
          <w:iCs/>
          <w:color w:val="000000"/>
          <w:sz w:val="24"/>
          <w:szCs w:val="24"/>
        </w:rPr>
      </w:pPr>
    </w:p>
    <w:p w14:paraId="096D1763" w14:textId="77777777" w:rsidR="00F72849" w:rsidRPr="00CC0F69" w:rsidRDefault="00F72849" w:rsidP="00F72849">
      <w:pPr>
        <w:tabs>
          <w:tab w:val="left" w:pos="-180"/>
        </w:tabs>
        <w:spacing w:after="0" w:line="240" w:lineRule="auto"/>
        <w:ind w:right="-28"/>
        <w:jc w:val="both"/>
        <w:rPr>
          <w:rFonts w:cstheme="minorHAnsi"/>
          <w:iCs/>
          <w:color w:val="000000"/>
          <w:sz w:val="24"/>
          <w:szCs w:val="24"/>
        </w:rPr>
      </w:pPr>
    </w:p>
    <w:p w14:paraId="3926E890" w14:textId="77777777" w:rsidR="00F72849" w:rsidRPr="00085B4C" w:rsidRDefault="00F72849" w:rsidP="00F72849">
      <w:pPr>
        <w:spacing w:before="240"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bookmarkStart w:id="37" w:name="_Hlk70406423"/>
      <w:r w:rsidRPr="00CC0F69">
        <w:rPr>
          <w:rFonts w:cstheme="minorHAnsi"/>
          <w:b/>
          <w:bCs/>
          <w:iCs/>
          <w:sz w:val="24"/>
          <w:szCs w:val="24"/>
        </w:rPr>
        <w:t>5. DUGOTRAJNA MATERIJALNA</w:t>
      </w:r>
      <w:r w:rsidRPr="00085B4C">
        <w:rPr>
          <w:rFonts w:cstheme="minorHAnsi"/>
          <w:b/>
          <w:bCs/>
          <w:iCs/>
          <w:sz w:val="24"/>
          <w:szCs w:val="24"/>
        </w:rPr>
        <w:t xml:space="preserve"> I NEMATERIJALNA IMOVINA</w:t>
      </w:r>
    </w:p>
    <w:p w14:paraId="4B10AB20" w14:textId="77777777" w:rsidR="00F72849" w:rsidRDefault="00F72849" w:rsidP="00F72849">
      <w:pPr>
        <w:spacing w:before="240" w:after="0" w:line="240" w:lineRule="auto"/>
        <w:jc w:val="both"/>
        <w:rPr>
          <w:rFonts w:cstheme="minorHAnsi"/>
          <w:iCs/>
          <w:color w:val="000000"/>
          <w:sz w:val="24"/>
          <w:szCs w:val="24"/>
        </w:rPr>
      </w:pPr>
      <w:r w:rsidRPr="00085B4C">
        <w:rPr>
          <w:rFonts w:cstheme="minorHAnsi"/>
          <w:iCs/>
          <w:color w:val="000000"/>
          <w:sz w:val="24"/>
          <w:szCs w:val="24"/>
        </w:rPr>
        <w:t>Stanje i promjene na dugotrajnoj materijalnoj i nematerijalnoj imovini (bez predujmova) prikazujemo na sljedeći način:</w:t>
      </w:r>
    </w:p>
    <w:p w14:paraId="1C9FACF7" w14:textId="77777777" w:rsidR="007158B7" w:rsidRDefault="007158B7" w:rsidP="00F72849">
      <w:pPr>
        <w:spacing w:before="240" w:after="0" w:line="240" w:lineRule="auto"/>
        <w:jc w:val="both"/>
        <w:rPr>
          <w:rFonts w:cstheme="minorHAnsi"/>
          <w:iCs/>
          <w:color w:val="000000"/>
          <w:sz w:val="24"/>
          <w:szCs w:val="24"/>
        </w:rPr>
      </w:pPr>
    </w:p>
    <w:p w14:paraId="77DB7BD3" w14:textId="77777777" w:rsidR="00E44C3A" w:rsidRDefault="00E44C3A" w:rsidP="00F72849">
      <w:pPr>
        <w:spacing w:before="240" w:after="0" w:line="240" w:lineRule="auto"/>
        <w:jc w:val="both"/>
        <w:rPr>
          <w:rFonts w:cstheme="minorHAnsi"/>
          <w:iCs/>
          <w:color w:val="000000"/>
          <w:sz w:val="24"/>
          <w:szCs w:val="24"/>
        </w:rPr>
      </w:pPr>
    </w:p>
    <w:p w14:paraId="24B4AD9D" w14:textId="420FD14B" w:rsidR="00E44C3A" w:rsidRPr="00085B4C" w:rsidRDefault="00E44C3A" w:rsidP="00F72849">
      <w:pPr>
        <w:spacing w:before="240" w:after="0" w:line="240" w:lineRule="auto"/>
        <w:jc w:val="both"/>
        <w:rPr>
          <w:rFonts w:cstheme="minorHAnsi"/>
          <w:iCs/>
          <w:color w:val="000000"/>
          <w:sz w:val="24"/>
          <w:szCs w:val="24"/>
        </w:rPr>
        <w:sectPr w:rsidR="00E44C3A" w:rsidRPr="00085B4C" w:rsidSect="002438E6">
          <w:headerReference w:type="default" r:id="rId20"/>
          <w:footerReference w:type="default" r:id="rId21"/>
          <w:pgSz w:w="11906" w:h="16838" w:code="9"/>
          <w:pgMar w:top="1418" w:right="1418" w:bottom="1418" w:left="1418" w:header="720" w:footer="720" w:gutter="0"/>
          <w:cols w:space="720"/>
          <w:docGrid w:linePitch="326"/>
        </w:sectPr>
      </w:pPr>
    </w:p>
    <w:p w14:paraId="3B61CCD1" w14:textId="77777777" w:rsidR="001B498B" w:rsidRDefault="001B498B" w:rsidP="001B498B">
      <w:pPr>
        <w:spacing w:before="240" w:after="0" w:line="240" w:lineRule="auto"/>
        <w:jc w:val="both"/>
        <w:rPr>
          <w:rFonts w:cstheme="minorHAnsi"/>
          <w:iCs/>
          <w:color w:val="000000"/>
          <w:sz w:val="24"/>
          <w:szCs w:val="24"/>
        </w:rPr>
      </w:pPr>
    </w:p>
    <w:p w14:paraId="31FB4F8F" w14:textId="0E7F9AF8" w:rsidR="001B498B" w:rsidRDefault="001B498B" w:rsidP="001B498B">
      <w:pPr>
        <w:tabs>
          <w:tab w:val="left" w:pos="-180"/>
        </w:tabs>
        <w:spacing w:before="240" w:after="0" w:line="240" w:lineRule="auto"/>
        <w:ind w:right="819"/>
        <w:jc w:val="right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cstheme="minorHAnsi"/>
          <w:iCs/>
          <w:color w:val="000000"/>
          <w:sz w:val="24"/>
          <w:szCs w:val="24"/>
        </w:rPr>
        <w:tab/>
      </w:r>
      <w:r>
        <w:rPr>
          <w:rFonts w:cstheme="minorHAnsi"/>
          <w:iCs/>
          <w:color w:val="000000"/>
          <w:sz w:val="24"/>
          <w:szCs w:val="24"/>
        </w:rPr>
        <w:tab/>
        <w:t xml:space="preserve"> - EUR -</w:t>
      </w:r>
    </w:p>
    <w:p w14:paraId="42751695" w14:textId="75BF1B56" w:rsidR="00F72849" w:rsidRPr="00085B4C" w:rsidRDefault="001B498B" w:rsidP="001B498B">
      <w:pPr>
        <w:spacing w:before="240" w:after="0" w:line="240" w:lineRule="auto"/>
        <w:jc w:val="both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iCs/>
          <w:color w:val="FF0000"/>
          <w:sz w:val="24"/>
          <w:szCs w:val="24"/>
        </w:rPr>
        <w:object w:dxaOrig="17088" w:dyaOrig="7749" w14:anchorId="24ADD219">
          <v:shape id="_x0000_i1031" type="#_x0000_t75" style="width:854.35pt;height:387.95pt" o:ole="">
            <v:imagedata r:id="rId22" o:title=""/>
          </v:shape>
          <o:OLEObject Type="Embed" ProgID="Excel.Sheet.8" ShapeID="_x0000_i1031" DrawAspect="Content" ObjectID="_1778063311" r:id="rId23"/>
        </w:object>
      </w:r>
    </w:p>
    <w:p w14:paraId="59E6CD79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  <w:sectPr w:rsidR="00F72849" w:rsidRPr="00085B4C" w:rsidSect="002438E6">
          <w:pgSz w:w="16838" w:h="11906" w:orient="landscape" w:code="9"/>
          <w:pgMar w:top="1418" w:right="1418" w:bottom="1418" w:left="1418" w:header="181" w:footer="720" w:gutter="0"/>
          <w:cols w:space="720"/>
          <w:docGrid w:linePitch="326"/>
        </w:sectPr>
      </w:pPr>
    </w:p>
    <w:bookmarkEnd w:id="37"/>
    <w:p w14:paraId="7BBA1B2C" w14:textId="2151C40E" w:rsidR="001B498B" w:rsidRPr="001B498B" w:rsidRDefault="00F72849" w:rsidP="001B498B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1B498B">
        <w:rPr>
          <w:rFonts w:cstheme="minorHAnsi"/>
          <w:b/>
          <w:bCs/>
          <w:iCs/>
          <w:sz w:val="24"/>
          <w:szCs w:val="24"/>
        </w:rPr>
        <w:lastRenderedPageBreak/>
        <w:t>/i/</w:t>
      </w:r>
      <w:r w:rsidRPr="001B498B">
        <w:rPr>
          <w:rFonts w:cstheme="minorHAnsi"/>
          <w:bCs/>
          <w:iCs/>
          <w:sz w:val="24"/>
          <w:szCs w:val="24"/>
        </w:rPr>
        <w:tab/>
      </w:r>
      <w:bookmarkStart w:id="38" w:name="_Hlk136952094"/>
      <w:r w:rsidR="001B498B" w:rsidRPr="001B498B">
        <w:rPr>
          <w:rFonts w:cstheme="minorHAnsi"/>
          <w:bCs/>
          <w:iCs/>
          <w:sz w:val="24"/>
          <w:szCs w:val="24"/>
        </w:rPr>
        <w:t>Povećanje imovine u pripremi u 2023. godini iznosilo je 592.023,06 eura (2022.: 926.710,23 eur), a najznačajnija ulaganja bila su u spremnike za otpad</w:t>
      </w:r>
      <w:r w:rsidR="001B498B">
        <w:rPr>
          <w:rFonts w:cstheme="minorHAnsi"/>
          <w:bCs/>
          <w:iCs/>
          <w:sz w:val="24"/>
          <w:szCs w:val="24"/>
        </w:rPr>
        <w:t>,</w:t>
      </w:r>
      <w:r w:rsidR="001B498B" w:rsidRPr="001B498B">
        <w:rPr>
          <w:rFonts w:cstheme="minorHAnsi"/>
          <w:bCs/>
          <w:iCs/>
          <w:sz w:val="24"/>
          <w:szCs w:val="24"/>
        </w:rPr>
        <w:t xml:space="preserve"> teretna i osobna vozila.</w:t>
      </w:r>
    </w:p>
    <w:p w14:paraId="067E2660" w14:textId="4FF06896" w:rsidR="00F72849" w:rsidRPr="00163AD5" w:rsidRDefault="001B498B" w:rsidP="001B498B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163AD5">
        <w:rPr>
          <w:rFonts w:cstheme="minorHAnsi"/>
          <w:bCs/>
          <w:iCs/>
          <w:sz w:val="24"/>
          <w:szCs w:val="24"/>
        </w:rPr>
        <w:t xml:space="preserve">Društvo je u 2023. godini prenijelo u uporabu imovinu u iznosu od 619.049,60 eur (2022. 991.791,46 eur) i to: alate i transportna sredstva 460.541,35 eur (2022.: 287.123,08 eur), građevinske objekte 7.535,00 eur (2022.: 34.082,02 eur), postrojenja i oprema 113.444,64 eur (2022.: 557.323,73 eur) i nematerijalna imovina 37.528,61 eur (2022.: 113.262,61 eur). </w:t>
      </w:r>
      <w:r w:rsidR="00F72849" w:rsidRPr="00163AD5">
        <w:rPr>
          <w:rFonts w:cstheme="minorHAnsi"/>
          <w:bCs/>
          <w:iCs/>
          <w:sz w:val="24"/>
          <w:szCs w:val="24"/>
        </w:rPr>
        <w:t>Najznačajnije investicije aktivirane u 202</w:t>
      </w:r>
      <w:r w:rsidR="006A0310" w:rsidRPr="00163AD5">
        <w:rPr>
          <w:rFonts w:cstheme="minorHAnsi"/>
          <w:bCs/>
          <w:iCs/>
          <w:sz w:val="24"/>
          <w:szCs w:val="24"/>
        </w:rPr>
        <w:t>3</w:t>
      </w:r>
      <w:r w:rsidR="00F72849" w:rsidRPr="00163AD5">
        <w:rPr>
          <w:rFonts w:cstheme="minorHAnsi"/>
          <w:bCs/>
          <w:iCs/>
          <w:sz w:val="24"/>
          <w:szCs w:val="24"/>
        </w:rPr>
        <w:t>. godini su:</w:t>
      </w:r>
    </w:p>
    <w:p w14:paraId="3092E626" w14:textId="4F416775" w:rsidR="00F72849" w:rsidRPr="00163AD5" w:rsidRDefault="00DB694C" w:rsidP="00F72849">
      <w:pPr>
        <w:pStyle w:val="ListParagraph"/>
        <w:numPr>
          <w:ilvl w:val="0"/>
          <w:numId w:val="12"/>
        </w:numPr>
        <w:spacing w:before="240" w:after="0" w:line="240" w:lineRule="auto"/>
        <w:ind w:left="425" w:right="92" w:hanging="425"/>
        <w:jc w:val="both"/>
        <w:rPr>
          <w:rFonts w:cstheme="minorHAnsi"/>
          <w:sz w:val="24"/>
          <w:szCs w:val="24"/>
        </w:rPr>
      </w:pPr>
      <w:bookmarkStart w:id="39" w:name="_Hlk136606498"/>
      <w:r w:rsidRPr="00163AD5">
        <w:rPr>
          <w:rFonts w:cstheme="minorHAnsi"/>
          <w:sz w:val="24"/>
          <w:szCs w:val="24"/>
        </w:rPr>
        <w:t>d</w:t>
      </w:r>
      <w:r w:rsidR="00F72849" w:rsidRPr="00163AD5">
        <w:rPr>
          <w:rFonts w:cstheme="minorHAnsi"/>
          <w:sz w:val="24"/>
          <w:szCs w:val="24"/>
        </w:rPr>
        <w:t xml:space="preserve">va specijalna teretna komunalna vozila </w:t>
      </w:r>
      <w:r w:rsidR="00F72849" w:rsidRPr="00163AD5">
        <w:rPr>
          <w:rFonts w:cstheme="minorHAnsi"/>
          <w:iCs/>
          <w:sz w:val="24"/>
          <w:szCs w:val="24"/>
        </w:rPr>
        <w:t xml:space="preserve">za sakupljanje i sabijanje otpada ukupne vrijednosti </w:t>
      </w:r>
      <w:r w:rsidR="009C17A2" w:rsidRPr="00163AD5">
        <w:rPr>
          <w:rFonts w:cstheme="minorHAnsi"/>
          <w:iCs/>
          <w:sz w:val="24"/>
          <w:szCs w:val="24"/>
        </w:rPr>
        <w:t>331.300,00 eur</w:t>
      </w:r>
      <w:r w:rsidR="001A7B7A" w:rsidRPr="00163AD5">
        <w:rPr>
          <w:rFonts w:cstheme="minorHAnsi"/>
          <w:iCs/>
          <w:sz w:val="24"/>
          <w:szCs w:val="24"/>
        </w:rPr>
        <w:t xml:space="preserve"> nabavljena putem financijskog leasinga</w:t>
      </w:r>
      <w:r w:rsidRPr="00163AD5">
        <w:rPr>
          <w:rFonts w:cstheme="minorHAnsi"/>
          <w:iCs/>
          <w:sz w:val="24"/>
          <w:szCs w:val="24"/>
        </w:rPr>
        <w:t>,</w:t>
      </w:r>
    </w:p>
    <w:p w14:paraId="0E941F44" w14:textId="544DF80E" w:rsidR="00F72849" w:rsidRPr="00163AD5" w:rsidRDefault="00953ECD" w:rsidP="00F72849">
      <w:pPr>
        <w:pStyle w:val="ListParagraph"/>
        <w:numPr>
          <w:ilvl w:val="0"/>
          <w:numId w:val="12"/>
        </w:numPr>
        <w:spacing w:before="240" w:after="0" w:line="240" w:lineRule="auto"/>
        <w:ind w:left="414" w:right="92" w:hanging="425"/>
        <w:jc w:val="both"/>
        <w:rPr>
          <w:rFonts w:cstheme="minorHAnsi"/>
          <w:iCs/>
          <w:sz w:val="24"/>
          <w:szCs w:val="24"/>
        </w:rPr>
      </w:pPr>
      <w:r w:rsidRPr="00163AD5">
        <w:rPr>
          <w:rFonts w:cstheme="minorHAnsi"/>
          <w:iCs/>
          <w:sz w:val="24"/>
          <w:szCs w:val="24"/>
        </w:rPr>
        <w:t>10 komada komunalnih kontejnera KKO 5m3 ukupne vrijednosti 12.990,00 eur</w:t>
      </w:r>
      <w:r w:rsidR="00DB694C" w:rsidRPr="00163AD5">
        <w:rPr>
          <w:rFonts w:cstheme="minorHAnsi"/>
          <w:iCs/>
          <w:sz w:val="24"/>
          <w:szCs w:val="24"/>
        </w:rPr>
        <w:t>,</w:t>
      </w:r>
    </w:p>
    <w:p w14:paraId="638036E9" w14:textId="21B4B1B7" w:rsidR="00F72849" w:rsidRPr="00163AD5" w:rsidRDefault="00F72849" w:rsidP="00F72849">
      <w:pPr>
        <w:pStyle w:val="ListParagraph"/>
        <w:numPr>
          <w:ilvl w:val="0"/>
          <w:numId w:val="12"/>
        </w:numPr>
        <w:spacing w:before="240" w:after="0" w:line="240" w:lineRule="auto"/>
        <w:ind w:left="414" w:right="92" w:hanging="425"/>
        <w:jc w:val="both"/>
        <w:rPr>
          <w:rFonts w:cstheme="minorHAnsi"/>
          <w:iCs/>
          <w:sz w:val="24"/>
          <w:szCs w:val="24"/>
        </w:rPr>
      </w:pPr>
      <w:r w:rsidRPr="00163AD5">
        <w:rPr>
          <w:rFonts w:cstheme="minorHAnsi"/>
          <w:iCs/>
          <w:sz w:val="24"/>
          <w:szCs w:val="24"/>
        </w:rPr>
        <w:t xml:space="preserve">stambeno sanitarni kontejner za potrebe POSAM </w:t>
      </w:r>
      <w:r w:rsidR="00953ECD" w:rsidRPr="00163AD5">
        <w:rPr>
          <w:rFonts w:cstheme="minorHAnsi"/>
          <w:iCs/>
          <w:sz w:val="24"/>
          <w:szCs w:val="24"/>
        </w:rPr>
        <w:t>Malinska</w:t>
      </w:r>
      <w:r w:rsidR="00E44C3A" w:rsidRPr="00163AD5">
        <w:rPr>
          <w:rFonts w:cstheme="minorHAnsi"/>
          <w:iCs/>
          <w:sz w:val="24"/>
          <w:szCs w:val="24"/>
        </w:rPr>
        <w:t>-Dubašnica</w:t>
      </w:r>
      <w:r w:rsidR="00953ECD" w:rsidRPr="00163AD5">
        <w:rPr>
          <w:rFonts w:cstheme="minorHAnsi"/>
          <w:iCs/>
          <w:sz w:val="24"/>
          <w:szCs w:val="24"/>
        </w:rPr>
        <w:t xml:space="preserve"> </w:t>
      </w:r>
      <w:r w:rsidR="00DB694C" w:rsidRPr="00163AD5">
        <w:rPr>
          <w:rFonts w:cstheme="minorHAnsi"/>
          <w:iCs/>
          <w:sz w:val="24"/>
          <w:szCs w:val="24"/>
        </w:rPr>
        <w:t>u</w:t>
      </w:r>
      <w:r w:rsidR="00953ECD" w:rsidRPr="00163AD5">
        <w:rPr>
          <w:rFonts w:cstheme="minorHAnsi"/>
          <w:iCs/>
          <w:sz w:val="24"/>
          <w:szCs w:val="24"/>
        </w:rPr>
        <w:t xml:space="preserve"> vrijednosti </w:t>
      </w:r>
      <w:r w:rsidR="00DB694C" w:rsidRPr="00163AD5">
        <w:rPr>
          <w:rFonts w:cstheme="minorHAnsi"/>
          <w:iCs/>
          <w:sz w:val="24"/>
          <w:szCs w:val="24"/>
        </w:rPr>
        <w:t xml:space="preserve">od </w:t>
      </w:r>
      <w:r w:rsidR="00953ECD" w:rsidRPr="00163AD5">
        <w:rPr>
          <w:rFonts w:cstheme="minorHAnsi"/>
          <w:iCs/>
          <w:sz w:val="24"/>
          <w:szCs w:val="24"/>
        </w:rPr>
        <w:t>7.535,00 eur</w:t>
      </w:r>
      <w:r w:rsidR="00DB694C" w:rsidRPr="00163AD5">
        <w:rPr>
          <w:rFonts w:cstheme="minorHAnsi"/>
          <w:iCs/>
          <w:sz w:val="24"/>
          <w:szCs w:val="24"/>
        </w:rPr>
        <w:t>,</w:t>
      </w:r>
    </w:p>
    <w:p w14:paraId="5F1CABDF" w14:textId="3F5D4554" w:rsidR="00953ECD" w:rsidRPr="00163AD5" w:rsidRDefault="00DB694C" w:rsidP="00F72849">
      <w:pPr>
        <w:pStyle w:val="ListParagraph"/>
        <w:numPr>
          <w:ilvl w:val="0"/>
          <w:numId w:val="12"/>
        </w:numPr>
        <w:spacing w:before="240" w:after="0" w:line="240" w:lineRule="auto"/>
        <w:ind w:left="414" w:right="92" w:hanging="425"/>
        <w:jc w:val="both"/>
        <w:rPr>
          <w:rFonts w:cstheme="minorHAnsi"/>
          <w:iCs/>
          <w:sz w:val="24"/>
          <w:szCs w:val="24"/>
        </w:rPr>
      </w:pPr>
      <w:r w:rsidRPr="00163AD5">
        <w:rPr>
          <w:rFonts w:cstheme="minorHAnsi"/>
          <w:iCs/>
          <w:sz w:val="24"/>
          <w:szCs w:val="24"/>
        </w:rPr>
        <w:t>p</w:t>
      </w:r>
      <w:r w:rsidR="001A7B7A" w:rsidRPr="00163AD5">
        <w:rPr>
          <w:rFonts w:cstheme="minorHAnsi"/>
          <w:iCs/>
          <w:sz w:val="24"/>
          <w:szCs w:val="24"/>
        </w:rPr>
        <w:t>ovećanje vrijednosti komunalnom vozilu za skupljanje otpada investicijom u iznosu od</w:t>
      </w:r>
      <w:r w:rsidR="00451FD3" w:rsidRPr="00163AD5">
        <w:rPr>
          <w:rFonts w:cstheme="minorHAnsi"/>
          <w:iCs/>
          <w:sz w:val="24"/>
          <w:szCs w:val="24"/>
        </w:rPr>
        <w:t xml:space="preserve"> 25.982,82 eur.</w:t>
      </w:r>
    </w:p>
    <w:p w14:paraId="14205331" w14:textId="13DDE777" w:rsidR="00451FD3" w:rsidRPr="00163AD5" w:rsidRDefault="00DB694C" w:rsidP="00F72849">
      <w:pPr>
        <w:pStyle w:val="ListParagraph"/>
        <w:numPr>
          <w:ilvl w:val="0"/>
          <w:numId w:val="12"/>
        </w:numPr>
        <w:spacing w:before="240" w:after="0" w:line="240" w:lineRule="auto"/>
        <w:ind w:left="414" w:right="92" w:hanging="425"/>
        <w:jc w:val="both"/>
        <w:rPr>
          <w:rFonts w:cstheme="minorHAnsi"/>
          <w:iCs/>
          <w:sz w:val="24"/>
          <w:szCs w:val="24"/>
        </w:rPr>
      </w:pPr>
      <w:r w:rsidRPr="00163AD5">
        <w:rPr>
          <w:rFonts w:cstheme="minorHAnsi"/>
          <w:iCs/>
          <w:sz w:val="24"/>
          <w:szCs w:val="24"/>
        </w:rPr>
        <w:t>k</w:t>
      </w:r>
      <w:r w:rsidR="00CE21BE" w:rsidRPr="00163AD5">
        <w:rPr>
          <w:rFonts w:cstheme="minorHAnsi"/>
          <w:iCs/>
          <w:sz w:val="24"/>
          <w:szCs w:val="24"/>
        </w:rPr>
        <w:t xml:space="preserve">ombi vozilo za prijevoz djelatnika </w:t>
      </w:r>
      <w:r w:rsidRPr="00163AD5">
        <w:rPr>
          <w:rFonts w:cstheme="minorHAnsi"/>
          <w:iCs/>
          <w:sz w:val="24"/>
          <w:szCs w:val="24"/>
        </w:rPr>
        <w:t>u</w:t>
      </w:r>
      <w:r w:rsidR="00CE21BE" w:rsidRPr="00163AD5">
        <w:rPr>
          <w:rFonts w:cstheme="minorHAnsi"/>
          <w:iCs/>
          <w:sz w:val="24"/>
          <w:szCs w:val="24"/>
        </w:rPr>
        <w:t xml:space="preserve"> vrijednosti </w:t>
      </w:r>
      <w:r w:rsidRPr="00163AD5">
        <w:rPr>
          <w:rFonts w:cstheme="minorHAnsi"/>
          <w:iCs/>
          <w:sz w:val="24"/>
          <w:szCs w:val="24"/>
        </w:rPr>
        <w:t xml:space="preserve">od </w:t>
      </w:r>
      <w:r w:rsidR="00CE21BE" w:rsidRPr="00163AD5">
        <w:rPr>
          <w:rFonts w:cstheme="minorHAnsi"/>
          <w:iCs/>
          <w:sz w:val="24"/>
          <w:szCs w:val="24"/>
        </w:rPr>
        <w:t>22.576,15 eur</w:t>
      </w:r>
      <w:r w:rsidRPr="00163AD5">
        <w:rPr>
          <w:rFonts w:cstheme="minorHAnsi"/>
          <w:iCs/>
          <w:sz w:val="24"/>
          <w:szCs w:val="24"/>
        </w:rPr>
        <w:t>,</w:t>
      </w:r>
    </w:p>
    <w:p w14:paraId="5EF1FD31" w14:textId="7AFCAC7C" w:rsidR="00CE21BE" w:rsidRPr="00163AD5" w:rsidRDefault="00DB694C" w:rsidP="00F72849">
      <w:pPr>
        <w:pStyle w:val="ListParagraph"/>
        <w:numPr>
          <w:ilvl w:val="0"/>
          <w:numId w:val="12"/>
        </w:numPr>
        <w:spacing w:before="240" w:after="0" w:line="240" w:lineRule="auto"/>
        <w:ind w:left="414" w:right="92" w:hanging="425"/>
        <w:jc w:val="both"/>
        <w:rPr>
          <w:rFonts w:cstheme="minorHAnsi"/>
          <w:iCs/>
          <w:sz w:val="24"/>
          <w:szCs w:val="24"/>
        </w:rPr>
      </w:pPr>
      <w:r w:rsidRPr="00163AD5">
        <w:rPr>
          <w:rFonts w:cstheme="minorHAnsi"/>
          <w:iCs/>
          <w:sz w:val="24"/>
          <w:szCs w:val="24"/>
        </w:rPr>
        <w:t>t</w:t>
      </w:r>
      <w:r w:rsidR="001B3E04" w:rsidRPr="00163AD5">
        <w:rPr>
          <w:rFonts w:cstheme="minorHAnsi"/>
          <w:iCs/>
          <w:sz w:val="24"/>
          <w:szCs w:val="24"/>
        </w:rPr>
        <w:t>ri osobna vozila ukupne vrijednosti 57.802,46 eur.</w:t>
      </w:r>
    </w:p>
    <w:p w14:paraId="2BB5D4E6" w14:textId="2EE717B0" w:rsidR="00953ECD" w:rsidRPr="00163AD5" w:rsidRDefault="00953ECD" w:rsidP="00451FD3">
      <w:pPr>
        <w:pStyle w:val="ListParagraph"/>
        <w:spacing w:before="240" w:after="0" w:line="240" w:lineRule="auto"/>
        <w:ind w:left="502" w:right="92"/>
        <w:jc w:val="both"/>
        <w:rPr>
          <w:rFonts w:cstheme="minorHAnsi"/>
          <w:iCs/>
          <w:sz w:val="24"/>
          <w:szCs w:val="24"/>
        </w:rPr>
      </w:pPr>
    </w:p>
    <w:bookmarkEnd w:id="38"/>
    <w:bookmarkEnd w:id="39"/>
    <w:p w14:paraId="29752308" w14:textId="1CCA304A" w:rsidR="00F72849" w:rsidRPr="00DB69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DB694C">
        <w:rPr>
          <w:rFonts w:cstheme="minorHAnsi"/>
          <w:b/>
          <w:bCs/>
          <w:iCs/>
          <w:sz w:val="24"/>
          <w:szCs w:val="24"/>
        </w:rPr>
        <w:t>/ii/</w:t>
      </w:r>
      <w:r w:rsidRPr="00DB694C">
        <w:rPr>
          <w:rFonts w:cstheme="minorHAnsi"/>
          <w:b/>
          <w:bCs/>
          <w:iCs/>
          <w:sz w:val="24"/>
          <w:szCs w:val="24"/>
        </w:rPr>
        <w:tab/>
      </w:r>
      <w:r w:rsidRPr="00DB694C">
        <w:rPr>
          <w:rFonts w:cstheme="minorHAnsi"/>
          <w:iCs/>
          <w:sz w:val="24"/>
          <w:szCs w:val="24"/>
        </w:rPr>
        <w:t>Vrijednost osnovnih sredstava u pripremi na dan 31.12.202</w:t>
      </w:r>
      <w:r w:rsidR="00DB694C" w:rsidRPr="00DB694C">
        <w:rPr>
          <w:rFonts w:cstheme="minorHAnsi"/>
          <w:iCs/>
          <w:sz w:val="24"/>
          <w:szCs w:val="24"/>
        </w:rPr>
        <w:t>3</w:t>
      </w:r>
      <w:r w:rsidRPr="00DB694C">
        <w:rPr>
          <w:rFonts w:cstheme="minorHAnsi"/>
          <w:iCs/>
          <w:sz w:val="24"/>
          <w:szCs w:val="24"/>
        </w:rPr>
        <w:t xml:space="preserve">. godine iznosi </w:t>
      </w:r>
      <w:r w:rsidR="00DB694C" w:rsidRPr="00DB694C">
        <w:rPr>
          <w:rFonts w:cstheme="minorHAnsi"/>
          <w:iCs/>
          <w:sz w:val="24"/>
          <w:szCs w:val="24"/>
        </w:rPr>
        <w:t>9.514,90 eur</w:t>
      </w:r>
      <w:r w:rsidRPr="00DB694C">
        <w:rPr>
          <w:rFonts w:cstheme="minorHAnsi"/>
          <w:iCs/>
          <w:sz w:val="24"/>
          <w:szCs w:val="24"/>
        </w:rPr>
        <w:t xml:space="preserve"> (202</w:t>
      </w:r>
      <w:r w:rsidR="00DB694C" w:rsidRPr="00DB694C">
        <w:rPr>
          <w:rFonts w:cstheme="minorHAnsi"/>
          <w:iCs/>
          <w:sz w:val="24"/>
          <w:szCs w:val="24"/>
        </w:rPr>
        <w:t>2</w:t>
      </w:r>
      <w:r w:rsidRPr="00DB694C">
        <w:rPr>
          <w:rFonts w:cstheme="minorHAnsi"/>
          <w:iCs/>
          <w:sz w:val="24"/>
          <w:szCs w:val="24"/>
        </w:rPr>
        <w:t xml:space="preserve">.: </w:t>
      </w:r>
      <w:r w:rsidR="00DB694C" w:rsidRPr="00DB694C">
        <w:rPr>
          <w:rFonts w:cstheme="minorHAnsi"/>
          <w:iCs/>
          <w:sz w:val="24"/>
          <w:szCs w:val="24"/>
        </w:rPr>
        <w:t>36.541,44 eur</w:t>
      </w:r>
      <w:r w:rsidRPr="00DB694C">
        <w:rPr>
          <w:rFonts w:cstheme="minorHAnsi"/>
          <w:iCs/>
          <w:sz w:val="24"/>
          <w:szCs w:val="24"/>
        </w:rPr>
        <w:t>).</w:t>
      </w:r>
    </w:p>
    <w:p w14:paraId="0DCDBA15" w14:textId="26E1AFDA" w:rsidR="00F72849" w:rsidRPr="00641712" w:rsidRDefault="00F72849" w:rsidP="00F72849">
      <w:pPr>
        <w:spacing w:before="240"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641712">
        <w:rPr>
          <w:rFonts w:cstheme="minorHAnsi"/>
          <w:b/>
          <w:bCs/>
          <w:iCs/>
          <w:sz w:val="24"/>
          <w:szCs w:val="24"/>
        </w:rPr>
        <w:t xml:space="preserve">/iii/    </w:t>
      </w:r>
      <w:r w:rsidR="00641712" w:rsidRPr="00641712">
        <w:rPr>
          <w:rFonts w:cstheme="minorHAnsi"/>
          <w:bCs/>
          <w:iCs/>
          <w:sz w:val="24"/>
          <w:szCs w:val="24"/>
        </w:rPr>
        <w:t>Društvo je zbog zastarjelosti i neupotrebljivosti rashodovalo imovinu nabavne vrijednosti 65.452,91 eur (2022.: 319.989,71 eur) i ispravka vrijednosti 53.134,64 eur (2022.: 284.102,27</w:t>
      </w:r>
      <w:r w:rsidR="00641712">
        <w:rPr>
          <w:rFonts w:cstheme="minorHAnsi"/>
          <w:bCs/>
          <w:iCs/>
          <w:sz w:val="24"/>
          <w:szCs w:val="24"/>
        </w:rPr>
        <w:t xml:space="preserve"> </w:t>
      </w:r>
      <w:r w:rsidR="00641712" w:rsidRPr="00641712">
        <w:rPr>
          <w:rFonts w:cstheme="minorHAnsi"/>
          <w:bCs/>
          <w:iCs/>
          <w:sz w:val="24"/>
          <w:szCs w:val="24"/>
        </w:rPr>
        <w:t xml:space="preserve">eur). Dio rashodovane imovine je prodan pa </w:t>
      </w:r>
      <w:r w:rsidR="00641712" w:rsidRPr="00F574EA">
        <w:rPr>
          <w:rFonts w:cstheme="minorHAnsi"/>
          <w:bCs/>
          <w:iCs/>
          <w:sz w:val="24"/>
          <w:szCs w:val="24"/>
        </w:rPr>
        <w:t>neto trošak iznosi</w:t>
      </w:r>
      <w:r w:rsidR="00641712" w:rsidRPr="00641712">
        <w:rPr>
          <w:rFonts w:cstheme="minorHAnsi"/>
          <w:bCs/>
          <w:iCs/>
          <w:sz w:val="24"/>
          <w:szCs w:val="24"/>
        </w:rPr>
        <w:t xml:space="preserve"> 9.728,27 eur (2022.: neto trošak 35.887,44 eur) (Bilješka 3.1.6.).</w:t>
      </w:r>
    </w:p>
    <w:p w14:paraId="286878BE" w14:textId="77777777" w:rsidR="00F72849" w:rsidRPr="007C54D4" w:rsidRDefault="00F72849" w:rsidP="00F72849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  <w:highlight w:val="cyan"/>
        </w:rPr>
      </w:pPr>
    </w:p>
    <w:p w14:paraId="4AECE4F1" w14:textId="77777777" w:rsidR="00F72849" w:rsidRPr="001A7B7A" w:rsidRDefault="00F72849" w:rsidP="00774A87">
      <w:pPr>
        <w:pStyle w:val="ListParagraph"/>
        <w:numPr>
          <w:ilvl w:val="0"/>
          <w:numId w:val="9"/>
        </w:numPr>
        <w:tabs>
          <w:tab w:val="left" w:pos="567"/>
        </w:tabs>
        <w:spacing w:before="240" w:after="0" w:line="240" w:lineRule="auto"/>
        <w:ind w:right="92" w:hanging="720"/>
        <w:rPr>
          <w:rFonts w:cstheme="minorHAnsi"/>
          <w:b/>
          <w:bCs/>
          <w:iCs/>
          <w:sz w:val="24"/>
          <w:szCs w:val="24"/>
        </w:rPr>
      </w:pPr>
      <w:r w:rsidRPr="001A7B7A">
        <w:rPr>
          <w:rFonts w:cstheme="minorHAnsi"/>
          <w:b/>
          <w:bCs/>
          <w:iCs/>
          <w:sz w:val="24"/>
          <w:szCs w:val="24"/>
        </w:rPr>
        <w:t>DUGOTRAJNA I KRATKOTRAJNA FINANCIJSKA IMOVINA</w:t>
      </w:r>
    </w:p>
    <w:p w14:paraId="4FE4BA0C" w14:textId="12031393" w:rsidR="00F72849" w:rsidRPr="00606E4A" w:rsidRDefault="00FA1F5E" w:rsidP="00F72849">
      <w:pPr>
        <w:pStyle w:val="gmail-m4491034583220394703msonospacing"/>
        <w:spacing w:before="24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bookmarkStart w:id="40" w:name="_Hlk136890552"/>
      <w:r w:rsidRPr="00606E4A">
        <w:rPr>
          <w:rFonts w:asciiTheme="minorHAnsi" w:hAnsiTheme="minorHAnsi" w:cstheme="minorHAnsi"/>
          <w:sz w:val="24"/>
          <w:szCs w:val="24"/>
        </w:rPr>
        <w:t xml:space="preserve">Temeljem Ugovora o podjeli sa preuzimanjem društva kapitala (odvajanje s preuzimanjem) sklopljenim između društava </w:t>
      </w:r>
      <w:r w:rsidR="008A5C13" w:rsidRPr="00606E4A">
        <w:rPr>
          <w:rFonts w:asciiTheme="minorHAnsi" w:hAnsiTheme="minorHAnsi" w:cstheme="minorHAnsi"/>
          <w:sz w:val="24"/>
          <w:szCs w:val="24"/>
        </w:rPr>
        <w:t xml:space="preserve">PONIKVE EKO OTOK KRK </w:t>
      </w:r>
      <w:r w:rsidRPr="00606E4A">
        <w:rPr>
          <w:rFonts w:asciiTheme="minorHAnsi" w:hAnsiTheme="minorHAnsi" w:cstheme="minorHAnsi"/>
          <w:sz w:val="24"/>
          <w:szCs w:val="24"/>
        </w:rPr>
        <w:t xml:space="preserve">d.o.o. i </w:t>
      </w:r>
      <w:r w:rsidR="008A5C13" w:rsidRPr="00606E4A">
        <w:rPr>
          <w:rFonts w:asciiTheme="minorHAnsi" w:hAnsiTheme="minorHAnsi" w:cstheme="minorHAnsi"/>
          <w:sz w:val="24"/>
          <w:szCs w:val="24"/>
        </w:rPr>
        <w:t xml:space="preserve">SMART ISLAND KRK </w:t>
      </w:r>
      <w:r w:rsidRPr="00606E4A">
        <w:rPr>
          <w:rFonts w:asciiTheme="minorHAnsi" w:hAnsiTheme="minorHAnsi" w:cstheme="minorHAnsi"/>
          <w:sz w:val="24"/>
          <w:szCs w:val="24"/>
        </w:rPr>
        <w:t xml:space="preserve">d.o.o. </w:t>
      </w:r>
      <w:r w:rsidR="008A5C13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606E4A">
        <w:rPr>
          <w:rFonts w:asciiTheme="minorHAnsi" w:hAnsiTheme="minorHAnsi" w:cstheme="minorHAnsi"/>
          <w:sz w:val="24"/>
          <w:szCs w:val="24"/>
        </w:rPr>
        <w:t>14. veljače 2022. godine obveza po kre</w:t>
      </w:r>
      <w:r w:rsidR="00F72849" w:rsidRPr="00606E4A">
        <w:rPr>
          <w:rFonts w:asciiTheme="minorHAnsi" w:hAnsiTheme="minorHAnsi" w:cstheme="minorHAnsi"/>
          <w:sz w:val="24"/>
          <w:szCs w:val="24"/>
        </w:rPr>
        <w:t>dit</w:t>
      </w:r>
      <w:r w:rsidRPr="00606E4A">
        <w:rPr>
          <w:rFonts w:asciiTheme="minorHAnsi" w:hAnsiTheme="minorHAnsi" w:cstheme="minorHAnsi"/>
          <w:sz w:val="24"/>
          <w:szCs w:val="24"/>
        </w:rPr>
        <w:t>u</w:t>
      </w:r>
      <w:r w:rsidR="00F72849" w:rsidRPr="00606E4A">
        <w:rPr>
          <w:rFonts w:asciiTheme="minorHAnsi" w:hAnsiTheme="minorHAnsi" w:cstheme="minorHAnsi"/>
          <w:sz w:val="24"/>
          <w:szCs w:val="24"/>
        </w:rPr>
        <w:t xml:space="preserve"> za financiranje izgradnje EKI mreže</w:t>
      </w:r>
      <w:r w:rsidRPr="00606E4A">
        <w:rPr>
          <w:rFonts w:asciiTheme="minorHAnsi" w:hAnsiTheme="minorHAnsi" w:cstheme="minorHAnsi"/>
          <w:sz w:val="24"/>
          <w:szCs w:val="24"/>
        </w:rPr>
        <w:t xml:space="preserve"> prenesena je u</w:t>
      </w:r>
      <w:r w:rsidR="00F72849" w:rsidRPr="00606E4A">
        <w:rPr>
          <w:rFonts w:asciiTheme="minorHAnsi" w:hAnsiTheme="minorHAnsi" w:cstheme="minorHAnsi"/>
          <w:sz w:val="24"/>
          <w:szCs w:val="24"/>
        </w:rPr>
        <w:t xml:space="preserve"> SMART ISLAND KRK d.o.o.</w:t>
      </w:r>
      <w:r w:rsidRPr="00606E4A">
        <w:rPr>
          <w:rFonts w:asciiTheme="minorHAnsi" w:hAnsiTheme="minorHAnsi" w:cstheme="minorHAnsi"/>
          <w:sz w:val="24"/>
          <w:szCs w:val="24"/>
        </w:rPr>
        <w:t>. Međutim</w:t>
      </w:r>
      <w:r w:rsidR="00F72849" w:rsidRPr="00606E4A">
        <w:rPr>
          <w:rFonts w:asciiTheme="minorHAnsi" w:hAnsiTheme="minorHAnsi" w:cstheme="minorHAnsi"/>
          <w:sz w:val="24"/>
          <w:szCs w:val="24"/>
        </w:rPr>
        <w:t xml:space="preserve"> kredit se nije u konačnici prenio na društvo preuzimatelja nego je napravljen aranžman po kojem kredit ostaje u Društvu, a za identične obveze prema banci se formiraju potraživanja Društva prema društvu SMART ISLAND KRK d.o.o. Riječ je o kreditnoj obvezi pa time i potraživanjima Društva koji su ugovoreni u iznosu od </w:t>
      </w:r>
      <w:r w:rsidRPr="00606E4A">
        <w:rPr>
          <w:rFonts w:asciiTheme="minorHAnsi" w:hAnsiTheme="minorHAnsi" w:cstheme="minorHAnsi"/>
          <w:sz w:val="24"/>
          <w:szCs w:val="24"/>
        </w:rPr>
        <w:t>837.135,57 eur</w:t>
      </w:r>
      <w:r w:rsidR="00F72849" w:rsidRPr="00606E4A">
        <w:rPr>
          <w:rFonts w:asciiTheme="minorHAnsi" w:hAnsiTheme="minorHAnsi" w:cstheme="minorHAnsi"/>
          <w:sz w:val="24"/>
          <w:szCs w:val="24"/>
        </w:rPr>
        <w:t xml:space="preserve"> uz kamatnu stopu od 1,63%. Tijekom godine dio kredita po otplatnom planu je plaćen i naplaćen povratno od SMART ISLAND KRK d.o.o., a na dan bilance kredit odnosno ukupno potraživanje iznosi </w:t>
      </w:r>
      <w:r w:rsidRPr="00606E4A">
        <w:rPr>
          <w:rFonts w:asciiTheme="minorHAnsi" w:hAnsiTheme="minorHAnsi" w:cstheme="minorHAnsi"/>
          <w:sz w:val="24"/>
          <w:szCs w:val="24"/>
        </w:rPr>
        <w:t>544.138,11 eur</w:t>
      </w:r>
      <w:r w:rsidR="00F72849" w:rsidRPr="00606E4A">
        <w:rPr>
          <w:rFonts w:asciiTheme="minorHAnsi" w:hAnsiTheme="minorHAnsi" w:cstheme="minorHAnsi"/>
          <w:sz w:val="24"/>
          <w:szCs w:val="24"/>
        </w:rPr>
        <w:t xml:space="preserve">, s tim da je dugoročni dio </w:t>
      </w:r>
      <w:r w:rsidRPr="00606E4A">
        <w:rPr>
          <w:rFonts w:asciiTheme="minorHAnsi" w:hAnsiTheme="minorHAnsi" w:cstheme="minorHAnsi"/>
          <w:sz w:val="24"/>
          <w:szCs w:val="24"/>
        </w:rPr>
        <w:t>376.710,99 eur</w:t>
      </w:r>
      <w:r w:rsidR="00F72849" w:rsidRPr="00606E4A">
        <w:rPr>
          <w:rFonts w:asciiTheme="minorHAnsi" w:hAnsiTheme="minorHAnsi" w:cstheme="minorHAnsi"/>
          <w:sz w:val="24"/>
          <w:szCs w:val="24"/>
        </w:rPr>
        <w:t xml:space="preserve">, a kratkoročni </w:t>
      </w:r>
      <w:r w:rsidRPr="00606E4A">
        <w:rPr>
          <w:rFonts w:asciiTheme="minorHAnsi" w:hAnsiTheme="minorHAnsi" w:cstheme="minorHAnsi"/>
          <w:sz w:val="24"/>
          <w:szCs w:val="24"/>
        </w:rPr>
        <w:t>167.427,12 eur</w:t>
      </w:r>
      <w:r w:rsidR="00F72849" w:rsidRPr="00606E4A">
        <w:rPr>
          <w:rFonts w:asciiTheme="minorHAnsi" w:hAnsiTheme="minorHAnsi" w:cstheme="minorHAnsi"/>
          <w:sz w:val="24"/>
          <w:szCs w:val="24"/>
        </w:rPr>
        <w:t xml:space="preserve"> </w:t>
      </w:r>
      <w:bookmarkEnd w:id="40"/>
      <w:r w:rsidR="00F72849" w:rsidRPr="00606E4A">
        <w:rPr>
          <w:rFonts w:asciiTheme="minorHAnsi" w:hAnsiTheme="minorHAnsi" w:cstheme="minorHAnsi"/>
          <w:sz w:val="24"/>
          <w:szCs w:val="24"/>
        </w:rPr>
        <w:t>uvećano za iznos prefakturiranih kamata od 2</w:t>
      </w:r>
      <w:r w:rsidR="008A46A2" w:rsidRPr="00606E4A">
        <w:rPr>
          <w:rFonts w:asciiTheme="minorHAnsi" w:hAnsiTheme="minorHAnsi" w:cstheme="minorHAnsi"/>
          <w:sz w:val="24"/>
          <w:szCs w:val="24"/>
        </w:rPr>
        <w:t>.439,10 EUR</w:t>
      </w:r>
      <w:r w:rsidR="00F72849" w:rsidRPr="00606E4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ADBFE22" w14:textId="3E967D99" w:rsidR="00606E4A" w:rsidRPr="00606E4A" w:rsidRDefault="00606E4A" w:rsidP="00F72849">
      <w:pPr>
        <w:pStyle w:val="gmail-m4491034583220394703msonospacing"/>
        <w:spacing w:before="24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606E4A">
        <w:rPr>
          <w:rFonts w:asciiTheme="minorHAnsi" w:hAnsiTheme="minorHAnsi" w:cstheme="minorHAnsi"/>
          <w:sz w:val="24"/>
          <w:szCs w:val="24"/>
        </w:rPr>
        <w:t>U dugo</w:t>
      </w:r>
      <w:r>
        <w:rPr>
          <w:rFonts w:asciiTheme="minorHAnsi" w:hAnsiTheme="minorHAnsi" w:cstheme="minorHAnsi"/>
          <w:sz w:val="24"/>
          <w:szCs w:val="24"/>
        </w:rPr>
        <w:t>trajn</w:t>
      </w:r>
      <w:r w:rsidRPr="00606E4A">
        <w:rPr>
          <w:rFonts w:asciiTheme="minorHAnsi" w:hAnsiTheme="minorHAnsi" w:cstheme="minorHAnsi"/>
          <w:sz w:val="24"/>
          <w:szCs w:val="24"/>
        </w:rPr>
        <w:t>oj financijskoj imovini nalazi se i udio Društva u PONIKVE USLUZI d.o.o. u iznosu od 83.440,00 eur.</w:t>
      </w:r>
    </w:p>
    <w:p w14:paraId="7B5FDDC6" w14:textId="77777777" w:rsidR="00F72849" w:rsidRPr="00606E4A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67" w:right="92" w:hanging="567"/>
        <w:jc w:val="both"/>
        <w:rPr>
          <w:rFonts w:cstheme="minorHAnsi"/>
          <w:b/>
          <w:bCs/>
          <w:iCs/>
          <w:sz w:val="24"/>
          <w:szCs w:val="24"/>
        </w:rPr>
      </w:pPr>
      <w:r w:rsidRPr="00606E4A">
        <w:rPr>
          <w:rFonts w:cstheme="minorHAnsi"/>
          <w:b/>
          <w:bCs/>
          <w:iCs/>
          <w:sz w:val="24"/>
          <w:szCs w:val="24"/>
        </w:rPr>
        <w:lastRenderedPageBreak/>
        <w:t>ZALIHE</w:t>
      </w:r>
    </w:p>
    <w:p w14:paraId="27CBDC08" w14:textId="709BB7D3" w:rsidR="00F72849" w:rsidRPr="00606E4A" w:rsidRDefault="00F72849" w:rsidP="00F72849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606E4A">
        <w:rPr>
          <w:rFonts w:cstheme="minorHAnsi"/>
          <w:bCs/>
          <w:iCs/>
          <w:sz w:val="24"/>
          <w:szCs w:val="24"/>
        </w:rPr>
        <w:t>Zalihe</w:t>
      </w:r>
      <w:r w:rsidR="00606E4A" w:rsidRPr="00606E4A">
        <w:rPr>
          <w:rFonts w:cstheme="minorHAnsi"/>
          <w:bCs/>
          <w:iCs/>
          <w:sz w:val="24"/>
          <w:szCs w:val="24"/>
        </w:rPr>
        <w:t xml:space="preserve"> sirovina i materijala</w:t>
      </w:r>
      <w:r w:rsidRPr="00606E4A">
        <w:rPr>
          <w:rFonts w:cstheme="minorHAnsi"/>
          <w:bCs/>
          <w:iCs/>
          <w:sz w:val="24"/>
          <w:szCs w:val="24"/>
        </w:rPr>
        <w:t xml:space="preserve"> </w:t>
      </w:r>
      <w:r w:rsidR="00606E4A" w:rsidRPr="00606E4A">
        <w:rPr>
          <w:rFonts w:cstheme="minorHAnsi"/>
          <w:bCs/>
          <w:iCs/>
          <w:sz w:val="24"/>
          <w:szCs w:val="24"/>
        </w:rPr>
        <w:t>u iznosu od 5.098,38 eur</w:t>
      </w:r>
      <w:r w:rsidRPr="00606E4A">
        <w:rPr>
          <w:rFonts w:cstheme="minorHAnsi"/>
          <w:bCs/>
          <w:iCs/>
          <w:sz w:val="24"/>
          <w:szCs w:val="24"/>
        </w:rPr>
        <w:t xml:space="preserve"> odnose </w:t>
      </w:r>
      <w:r w:rsidR="008A5C13">
        <w:rPr>
          <w:rFonts w:cstheme="minorHAnsi"/>
          <w:bCs/>
          <w:iCs/>
          <w:sz w:val="24"/>
          <w:szCs w:val="24"/>
        </w:rPr>
        <w:t xml:space="preserve">se </w:t>
      </w:r>
      <w:r w:rsidRPr="00606E4A">
        <w:rPr>
          <w:rFonts w:cstheme="minorHAnsi"/>
          <w:bCs/>
          <w:iCs/>
          <w:sz w:val="24"/>
          <w:szCs w:val="24"/>
        </w:rPr>
        <w:t xml:space="preserve">na </w:t>
      </w:r>
      <w:r w:rsidR="00606E4A" w:rsidRPr="00606E4A">
        <w:rPr>
          <w:rFonts w:cstheme="minorHAnsi"/>
          <w:bCs/>
          <w:iCs/>
          <w:sz w:val="24"/>
          <w:szCs w:val="24"/>
        </w:rPr>
        <w:t>spremnike za otpad</w:t>
      </w:r>
      <w:r w:rsidRPr="00606E4A">
        <w:rPr>
          <w:rFonts w:cstheme="minorHAnsi"/>
          <w:bCs/>
          <w:iCs/>
          <w:sz w:val="24"/>
          <w:szCs w:val="24"/>
        </w:rPr>
        <w:t xml:space="preserve">. </w:t>
      </w:r>
    </w:p>
    <w:p w14:paraId="52C4F659" w14:textId="0EF28400" w:rsidR="00F72849" w:rsidRDefault="00F72849" w:rsidP="00F72849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606E4A">
        <w:rPr>
          <w:rFonts w:cstheme="minorHAnsi"/>
          <w:bCs/>
          <w:iCs/>
          <w:sz w:val="24"/>
          <w:szCs w:val="24"/>
        </w:rPr>
        <w:t xml:space="preserve">Potraživanja za dane predujmove iznose </w:t>
      </w:r>
      <w:r w:rsidR="007C54D4" w:rsidRPr="00606E4A">
        <w:rPr>
          <w:rFonts w:cstheme="minorHAnsi"/>
          <w:bCs/>
          <w:iCs/>
          <w:sz w:val="24"/>
          <w:szCs w:val="24"/>
        </w:rPr>
        <w:t xml:space="preserve">9,29 eur </w:t>
      </w:r>
      <w:r w:rsidRPr="00606E4A">
        <w:rPr>
          <w:rFonts w:cstheme="minorHAnsi"/>
          <w:bCs/>
          <w:iCs/>
          <w:sz w:val="24"/>
          <w:szCs w:val="24"/>
        </w:rPr>
        <w:t>(202</w:t>
      </w:r>
      <w:r w:rsidR="007C54D4" w:rsidRPr="00606E4A">
        <w:rPr>
          <w:rFonts w:cstheme="minorHAnsi"/>
          <w:bCs/>
          <w:iCs/>
          <w:sz w:val="24"/>
          <w:szCs w:val="24"/>
        </w:rPr>
        <w:t>2</w:t>
      </w:r>
      <w:r w:rsidRPr="00606E4A">
        <w:rPr>
          <w:rFonts w:cstheme="minorHAnsi"/>
          <w:bCs/>
          <w:iCs/>
          <w:sz w:val="24"/>
          <w:szCs w:val="24"/>
        </w:rPr>
        <w:t xml:space="preserve">.:  </w:t>
      </w:r>
      <w:r w:rsidR="007C54D4" w:rsidRPr="00606E4A">
        <w:rPr>
          <w:rFonts w:cstheme="minorHAnsi"/>
          <w:bCs/>
          <w:iCs/>
          <w:sz w:val="24"/>
          <w:szCs w:val="24"/>
        </w:rPr>
        <w:t>19,91 eur</w:t>
      </w:r>
      <w:r w:rsidRPr="00606E4A">
        <w:rPr>
          <w:rFonts w:cstheme="minorHAnsi"/>
          <w:bCs/>
          <w:iCs/>
          <w:sz w:val="24"/>
          <w:szCs w:val="24"/>
        </w:rPr>
        <w:t>), a odnose se na plaćene predujmove za robu.</w:t>
      </w:r>
    </w:p>
    <w:p w14:paraId="1C5AE3D2" w14:textId="77777777" w:rsidR="00606E4A" w:rsidRPr="00606E4A" w:rsidRDefault="00606E4A" w:rsidP="00F72849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</w:p>
    <w:p w14:paraId="57CD7E1B" w14:textId="77777777" w:rsidR="00F72849" w:rsidRPr="00CC0F69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CC0F69">
        <w:rPr>
          <w:rFonts w:cstheme="minorHAnsi"/>
          <w:b/>
          <w:bCs/>
          <w:iCs/>
          <w:sz w:val="24"/>
          <w:szCs w:val="24"/>
        </w:rPr>
        <w:t>POTRAŽIVANJA OD KUPACA I OSTALA POTRAŽIVANJA</w:t>
      </w:r>
    </w:p>
    <w:p w14:paraId="016BA848" w14:textId="77777777" w:rsidR="00F72849" w:rsidRPr="00085B4C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CC0F69">
        <w:rPr>
          <w:rFonts w:cstheme="minorHAnsi"/>
          <w:iCs/>
          <w:sz w:val="24"/>
          <w:szCs w:val="24"/>
        </w:rPr>
        <w:t>Prikazujemo na sljedeći način:</w:t>
      </w:r>
    </w:p>
    <w:bookmarkStart w:id="41" w:name="_Hlk72317883"/>
    <w:bookmarkStart w:id="42" w:name="_MON_1647668527"/>
    <w:bookmarkEnd w:id="42"/>
    <w:p w14:paraId="1A2376CC" w14:textId="052A8C7A" w:rsidR="00F72849" w:rsidRPr="00085B4C" w:rsidRDefault="00774A87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085B4C">
        <w:rPr>
          <w:rFonts w:cstheme="minorHAnsi"/>
          <w:iCs/>
          <w:sz w:val="24"/>
          <w:szCs w:val="24"/>
        </w:rPr>
        <w:object w:dxaOrig="7584" w:dyaOrig="3827" w14:anchorId="2239768A">
          <v:shape id="_x0000_i1032" type="#_x0000_t75" style="width:382pt;height:208.65pt" o:ole="">
            <v:imagedata r:id="rId24" o:title=""/>
          </v:shape>
          <o:OLEObject Type="Embed" ProgID="Excel.Sheet.12" ShapeID="_x0000_i1032" DrawAspect="Content" ObjectID="_1778063312" r:id="rId25"/>
        </w:object>
      </w:r>
      <w:bookmarkStart w:id="43" w:name="_MON_1647255562"/>
      <w:bookmarkEnd w:id="41"/>
      <w:bookmarkEnd w:id="43"/>
    </w:p>
    <w:p w14:paraId="5D914321" w14:textId="77777777" w:rsidR="00F72849" w:rsidRPr="00B551AD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B551AD">
        <w:rPr>
          <w:rFonts w:cstheme="minorHAnsi"/>
          <w:b/>
          <w:bCs/>
          <w:iCs/>
          <w:sz w:val="24"/>
          <w:szCs w:val="24"/>
        </w:rPr>
        <w:t>/i/</w:t>
      </w:r>
      <w:r w:rsidRPr="00B551AD">
        <w:rPr>
          <w:rFonts w:cstheme="minorHAnsi"/>
          <w:iCs/>
          <w:sz w:val="24"/>
          <w:szCs w:val="24"/>
        </w:rPr>
        <w:tab/>
        <w:t xml:space="preserve">Potraživanja od kupaca odnose se na pružene usluge domaćinstvima i ostalim potrošačima. </w:t>
      </w:r>
    </w:p>
    <w:p w14:paraId="28C93839" w14:textId="370998E5" w:rsidR="00F72849" w:rsidRPr="00B551AD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B551AD">
        <w:rPr>
          <w:rFonts w:cstheme="minorHAnsi"/>
          <w:b/>
          <w:iCs/>
          <w:sz w:val="24"/>
          <w:szCs w:val="24"/>
        </w:rPr>
        <w:t>/ii/</w:t>
      </w:r>
      <w:r w:rsidRPr="00B551AD">
        <w:rPr>
          <w:rFonts w:cstheme="minorHAnsi"/>
          <w:b/>
          <w:iCs/>
          <w:sz w:val="24"/>
          <w:szCs w:val="24"/>
        </w:rPr>
        <w:tab/>
      </w:r>
      <w:r w:rsidRPr="00B551AD">
        <w:rPr>
          <w:rFonts w:cstheme="minorHAnsi"/>
          <w:iCs/>
          <w:sz w:val="24"/>
          <w:szCs w:val="24"/>
        </w:rPr>
        <w:t>U 202</w:t>
      </w:r>
      <w:r w:rsidR="001F1570" w:rsidRPr="00B551AD">
        <w:rPr>
          <w:rFonts w:cstheme="minorHAnsi"/>
          <w:iCs/>
          <w:sz w:val="24"/>
          <w:szCs w:val="24"/>
        </w:rPr>
        <w:t>3</w:t>
      </w:r>
      <w:r w:rsidRPr="00B551AD">
        <w:rPr>
          <w:rFonts w:cstheme="minorHAnsi"/>
          <w:iCs/>
          <w:sz w:val="24"/>
          <w:szCs w:val="24"/>
        </w:rPr>
        <w:t xml:space="preserve">. godini izvršeno je vrijednosno usklađenje potraživanja od kupaca u iznosu od </w:t>
      </w:r>
      <w:r w:rsidR="001F1570" w:rsidRPr="00B551AD">
        <w:rPr>
          <w:rFonts w:cstheme="minorHAnsi"/>
          <w:iCs/>
          <w:sz w:val="24"/>
          <w:szCs w:val="24"/>
        </w:rPr>
        <w:t>22.885,95 eur</w:t>
      </w:r>
      <w:r w:rsidRPr="00B551AD">
        <w:rPr>
          <w:rFonts w:cstheme="minorHAnsi"/>
          <w:iCs/>
          <w:sz w:val="24"/>
          <w:szCs w:val="24"/>
        </w:rPr>
        <w:t xml:space="preserve"> (202</w:t>
      </w:r>
      <w:r w:rsidR="001F1570" w:rsidRPr="00B551AD">
        <w:rPr>
          <w:rFonts w:cstheme="minorHAnsi"/>
          <w:iCs/>
          <w:sz w:val="24"/>
          <w:szCs w:val="24"/>
        </w:rPr>
        <w:t>2</w:t>
      </w:r>
      <w:r w:rsidRPr="00B551AD">
        <w:rPr>
          <w:rFonts w:cstheme="minorHAnsi"/>
          <w:iCs/>
          <w:sz w:val="24"/>
          <w:szCs w:val="24"/>
        </w:rPr>
        <w:t xml:space="preserve">.: </w:t>
      </w:r>
      <w:r w:rsidR="001F1570" w:rsidRPr="00B551AD">
        <w:rPr>
          <w:rFonts w:cstheme="minorHAnsi"/>
          <w:iCs/>
          <w:sz w:val="24"/>
          <w:szCs w:val="24"/>
        </w:rPr>
        <w:t>20.657,86 eur</w:t>
      </w:r>
      <w:r w:rsidRPr="00B551AD">
        <w:rPr>
          <w:rFonts w:cstheme="minorHAnsi"/>
          <w:iCs/>
          <w:sz w:val="24"/>
          <w:szCs w:val="24"/>
        </w:rPr>
        <w:t xml:space="preserve">), a za naplatu kojih je pokrenut postupak ovrhe. Društvo je u </w:t>
      </w:r>
      <w:r w:rsidR="001F1570" w:rsidRPr="00B551AD">
        <w:rPr>
          <w:rFonts w:cstheme="minorHAnsi"/>
          <w:iCs/>
          <w:sz w:val="24"/>
          <w:szCs w:val="24"/>
        </w:rPr>
        <w:t>2023</w:t>
      </w:r>
      <w:r w:rsidRPr="00B551AD">
        <w:rPr>
          <w:rFonts w:cstheme="minorHAnsi"/>
          <w:iCs/>
          <w:sz w:val="24"/>
          <w:szCs w:val="24"/>
        </w:rPr>
        <w:t xml:space="preserve">. godini </w:t>
      </w:r>
      <w:bookmarkStart w:id="44" w:name="_Hlk71026199"/>
      <w:r w:rsidRPr="00B551AD">
        <w:rPr>
          <w:rFonts w:cstheme="minorHAnsi"/>
          <w:iCs/>
          <w:sz w:val="24"/>
          <w:szCs w:val="24"/>
        </w:rPr>
        <w:t xml:space="preserve">zbog nemogućnosti naplate otpisalo potraživanja u iznosu od </w:t>
      </w:r>
      <w:r w:rsidR="001F1570" w:rsidRPr="00B551AD">
        <w:rPr>
          <w:rFonts w:cstheme="minorHAnsi"/>
          <w:iCs/>
          <w:sz w:val="24"/>
          <w:szCs w:val="24"/>
        </w:rPr>
        <w:t>77,32 eur</w:t>
      </w:r>
      <w:r w:rsidRPr="00B551AD">
        <w:rPr>
          <w:rFonts w:cstheme="minorHAnsi"/>
          <w:iCs/>
          <w:sz w:val="24"/>
          <w:szCs w:val="24"/>
        </w:rPr>
        <w:t xml:space="preserve"> (202</w:t>
      </w:r>
      <w:r w:rsidR="001F1570" w:rsidRPr="00B551AD">
        <w:rPr>
          <w:rFonts w:cstheme="minorHAnsi"/>
          <w:iCs/>
          <w:sz w:val="24"/>
          <w:szCs w:val="24"/>
        </w:rPr>
        <w:t>2</w:t>
      </w:r>
      <w:r w:rsidRPr="00B551AD">
        <w:rPr>
          <w:rFonts w:cstheme="minorHAnsi"/>
          <w:iCs/>
          <w:sz w:val="24"/>
          <w:szCs w:val="24"/>
        </w:rPr>
        <w:t xml:space="preserve">.: </w:t>
      </w:r>
      <w:bookmarkEnd w:id="44"/>
      <w:r w:rsidR="001F1570" w:rsidRPr="00B551AD">
        <w:rPr>
          <w:rFonts w:cstheme="minorHAnsi"/>
          <w:iCs/>
          <w:sz w:val="24"/>
          <w:szCs w:val="24"/>
        </w:rPr>
        <w:t>1.232,43</w:t>
      </w:r>
      <w:r w:rsidRPr="00B551AD">
        <w:rPr>
          <w:rFonts w:cstheme="minorHAnsi"/>
          <w:iCs/>
          <w:sz w:val="24"/>
          <w:szCs w:val="24"/>
        </w:rPr>
        <w:t>) (Bilješka 3.1.5.).</w:t>
      </w:r>
    </w:p>
    <w:p w14:paraId="4A7E9BCD" w14:textId="36B5E752" w:rsidR="00F72849" w:rsidRPr="00B551AD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B551AD">
        <w:rPr>
          <w:rFonts w:cstheme="minorHAnsi"/>
          <w:b/>
          <w:iCs/>
          <w:sz w:val="24"/>
          <w:szCs w:val="24"/>
        </w:rPr>
        <w:t>/iii/</w:t>
      </w:r>
      <w:r w:rsidRPr="00B551AD">
        <w:rPr>
          <w:rFonts w:cstheme="minorHAnsi"/>
          <w:b/>
          <w:iCs/>
          <w:sz w:val="24"/>
          <w:szCs w:val="24"/>
        </w:rPr>
        <w:tab/>
      </w:r>
      <w:r w:rsidRPr="00B551AD">
        <w:rPr>
          <w:rFonts w:cstheme="minorHAnsi"/>
          <w:iCs/>
          <w:sz w:val="24"/>
          <w:szCs w:val="24"/>
        </w:rPr>
        <w:t xml:space="preserve">Tijekom godine naplaćen je iznos od </w:t>
      </w:r>
      <w:r w:rsidR="00B551AD" w:rsidRPr="00B551AD">
        <w:rPr>
          <w:rFonts w:cstheme="minorHAnsi"/>
          <w:iCs/>
          <w:sz w:val="24"/>
          <w:szCs w:val="24"/>
        </w:rPr>
        <w:t>23.834,52 eur</w:t>
      </w:r>
      <w:r w:rsidRPr="00B551AD">
        <w:rPr>
          <w:rFonts w:cstheme="minorHAnsi"/>
          <w:iCs/>
          <w:sz w:val="24"/>
          <w:szCs w:val="24"/>
        </w:rPr>
        <w:t xml:space="preserve"> (202</w:t>
      </w:r>
      <w:r w:rsidR="00B551AD" w:rsidRPr="00B551AD">
        <w:rPr>
          <w:rFonts w:cstheme="minorHAnsi"/>
          <w:iCs/>
          <w:sz w:val="24"/>
          <w:szCs w:val="24"/>
        </w:rPr>
        <w:t>2</w:t>
      </w:r>
      <w:r w:rsidRPr="00B551AD">
        <w:rPr>
          <w:rFonts w:cstheme="minorHAnsi"/>
          <w:iCs/>
          <w:sz w:val="24"/>
          <w:szCs w:val="24"/>
        </w:rPr>
        <w:t xml:space="preserve">.: </w:t>
      </w:r>
      <w:r w:rsidR="00B551AD" w:rsidRPr="00B551AD">
        <w:rPr>
          <w:rFonts w:cstheme="minorHAnsi"/>
          <w:iCs/>
          <w:sz w:val="24"/>
          <w:szCs w:val="24"/>
        </w:rPr>
        <w:t>29.967,76 eur</w:t>
      </w:r>
      <w:r w:rsidRPr="00B551AD">
        <w:rPr>
          <w:rFonts w:cstheme="minorHAnsi"/>
          <w:iCs/>
          <w:sz w:val="24"/>
          <w:szCs w:val="24"/>
        </w:rPr>
        <w:t xml:space="preserve">) (Bilješka 2.1.). </w:t>
      </w:r>
    </w:p>
    <w:p w14:paraId="762BF10B" w14:textId="02B500FB" w:rsidR="00F72849" w:rsidRDefault="00F72849" w:rsidP="00F72849">
      <w:pPr>
        <w:tabs>
          <w:tab w:val="left" w:pos="777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7B5F91">
        <w:rPr>
          <w:rFonts w:cstheme="minorHAnsi"/>
          <w:b/>
          <w:bCs/>
          <w:iCs/>
          <w:sz w:val="24"/>
          <w:szCs w:val="24"/>
        </w:rPr>
        <w:t>/iv/</w:t>
      </w:r>
      <w:r w:rsidRPr="007B5F91">
        <w:rPr>
          <w:rFonts w:cstheme="minorHAnsi"/>
          <w:iCs/>
          <w:sz w:val="24"/>
          <w:szCs w:val="24"/>
        </w:rPr>
        <w:t xml:space="preserve">     Ostala potraživanja iznose </w:t>
      </w:r>
      <w:r w:rsidR="00B551AD" w:rsidRPr="007B5F91">
        <w:rPr>
          <w:rFonts w:cstheme="minorHAnsi"/>
          <w:iCs/>
          <w:sz w:val="24"/>
          <w:szCs w:val="24"/>
        </w:rPr>
        <w:t>73.541,27 eur</w:t>
      </w:r>
      <w:r w:rsidRPr="007B5F91">
        <w:rPr>
          <w:rFonts w:cstheme="minorHAnsi"/>
          <w:iCs/>
          <w:sz w:val="24"/>
          <w:szCs w:val="24"/>
        </w:rPr>
        <w:t xml:space="preserve"> (202</w:t>
      </w:r>
      <w:r w:rsidR="00B551AD" w:rsidRPr="007B5F91">
        <w:rPr>
          <w:rFonts w:cstheme="minorHAnsi"/>
          <w:iCs/>
          <w:sz w:val="24"/>
          <w:szCs w:val="24"/>
        </w:rPr>
        <w:t>2</w:t>
      </w:r>
      <w:r w:rsidRPr="007B5F91">
        <w:rPr>
          <w:rFonts w:cstheme="minorHAnsi"/>
          <w:iCs/>
          <w:sz w:val="24"/>
          <w:szCs w:val="24"/>
        </w:rPr>
        <w:t>.: 112.</w:t>
      </w:r>
      <w:r w:rsidR="00B551AD" w:rsidRPr="007B5F91">
        <w:rPr>
          <w:rFonts w:cstheme="minorHAnsi"/>
          <w:iCs/>
          <w:sz w:val="24"/>
          <w:szCs w:val="24"/>
        </w:rPr>
        <w:t>014,19 eur</w:t>
      </w:r>
      <w:r w:rsidRPr="007B5F91">
        <w:rPr>
          <w:rFonts w:cstheme="minorHAnsi"/>
          <w:iCs/>
          <w:sz w:val="24"/>
          <w:szCs w:val="24"/>
        </w:rPr>
        <w:t>)</w:t>
      </w:r>
      <w:r w:rsidR="007B5F91" w:rsidRPr="007B5F91">
        <w:rPr>
          <w:rFonts w:cstheme="minorHAnsi"/>
          <w:iCs/>
          <w:sz w:val="24"/>
          <w:szCs w:val="24"/>
        </w:rPr>
        <w:t xml:space="preserve">. Većim dijelom se odnose na potraživanja od domaćinstava za uslugu gospodarenja otpadom (46.310,48 eur), </w:t>
      </w:r>
      <w:r w:rsidR="007B5F91" w:rsidRPr="00641712">
        <w:rPr>
          <w:rFonts w:cstheme="minorHAnsi"/>
          <w:iCs/>
          <w:sz w:val="24"/>
          <w:szCs w:val="24"/>
        </w:rPr>
        <w:t>a koja se pojedinačno vode u društvu PONIKVE USLUGA d.o.o.</w:t>
      </w:r>
      <w:r w:rsidRPr="00641712">
        <w:rPr>
          <w:rFonts w:cstheme="minorHAnsi"/>
          <w:iCs/>
          <w:sz w:val="24"/>
          <w:szCs w:val="24"/>
        </w:rPr>
        <w:t xml:space="preserve"> </w:t>
      </w:r>
      <w:r w:rsidR="007B5F91" w:rsidRPr="00641712">
        <w:rPr>
          <w:rFonts w:cstheme="minorHAnsi"/>
          <w:iCs/>
          <w:sz w:val="24"/>
          <w:szCs w:val="24"/>
        </w:rPr>
        <w:t>te</w:t>
      </w:r>
      <w:r w:rsidRPr="00641712">
        <w:rPr>
          <w:rFonts w:cstheme="minorHAnsi"/>
          <w:iCs/>
          <w:sz w:val="24"/>
          <w:szCs w:val="24"/>
        </w:rPr>
        <w:t xml:space="preserve"> potraživanja </w:t>
      </w:r>
      <w:r w:rsidR="00B551AD" w:rsidRPr="00641712">
        <w:rPr>
          <w:rFonts w:cstheme="minorHAnsi"/>
          <w:iCs/>
          <w:sz w:val="24"/>
          <w:szCs w:val="24"/>
        </w:rPr>
        <w:t>iz</w:t>
      </w:r>
      <w:r w:rsidRPr="00641712">
        <w:rPr>
          <w:rFonts w:cstheme="minorHAnsi"/>
          <w:iCs/>
          <w:sz w:val="24"/>
          <w:szCs w:val="24"/>
        </w:rPr>
        <w:t xml:space="preserve"> EU projek</w:t>
      </w:r>
      <w:r w:rsidR="00B551AD" w:rsidRPr="00641712">
        <w:rPr>
          <w:rFonts w:cstheme="minorHAnsi"/>
          <w:iCs/>
          <w:sz w:val="24"/>
          <w:szCs w:val="24"/>
        </w:rPr>
        <w:t>a</w:t>
      </w:r>
      <w:r w:rsidRPr="00641712">
        <w:rPr>
          <w:rFonts w:cstheme="minorHAnsi"/>
          <w:iCs/>
          <w:sz w:val="24"/>
          <w:szCs w:val="24"/>
        </w:rPr>
        <w:t>t</w:t>
      </w:r>
      <w:r w:rsidR="00B551AD" w:rsidRPr="00641712">
        <w:rPr>
          <w:rFonts w:cstheme="minorHAnsi"/>
          <w:iCs/>
          <w:sz w:val="24"/>
          <w:szCs w:val="24"/>
        </w:rPr>
        <w:t>a</w:t>
      </w:r>
      <w:r w:rsidRPr="00641712">
        <w:rPr>
          <w:rFonts w:cstheme="minorHAnsi"/>
          <w:iCs/>
          <w:sz w:val="24"/>
          <w:szCs w:val="24"/>
        </w:rPr>
        <w:t xml:space="preserve"> </w:t>
      </w:r>
      <w:r w:rsidR="00B551AD" w:rsidRPr="00641712">
        <w:rPr>
          <w:rFonts w:cstheme="minorHAnsi"/>
          <w:iCs/>
          <w:sz w:val="24"/>
          <w:szCs w:val="24"/>
        </w:rPr>
        <w:t>I</w:t>
      </w:r>
      <w:r w:rsidR="00DB694C" w:rsidRPr="00641712">
        <w:rPr>
          <w:rFonts w:cstheme="minorHAnsi"/>
          <w:iCs/>
          <w:sz w:val="24"/>
          <w:szCs w:val="24"/>
        </w:rPr>
        <w:t>nNoP</w:t>
      </w:r>
      <w:r w:rsidR="00B551AD" w:rsidRPr="00641712">
        <w:rPr>
          <w:rFonts w:cstheme="minorHAnsi"/>
          <w:iCs/>
          <w:sz w:val="24"/>
          <w:szCs w:val="24"/>
        </w:rPr>
        <w:t xml:space="preserve">lastic </w:t>
      </w:r>
      <w:r w:rsidR="00D239B6" w:rsidRPr="00641712">
        <w:rPr>
          <w:rFonts w:cstheme="minorHAnsi"/>
          <w:iCs/>
          <w:sz w:val="24"/>
          <w:szCs w:val="24"/>
        </w:rPr>
        <w:t xml:space="preserve">u  iznosu od </w:t>
      </w:r>
      <w:r w:rsidR="00DB694C" w:rsidRPr="00641712">
        <w:rPr>
          <w:rFonts w:cstheme="minorHAnsi"/>
          <w:iCs/>
          <w:sz w:val="24"/>
          <w:szCs w:val="24"/>
        </w:rPr>
        <w:t xml:space="preserve">4.068,68 eur i </w:t>
      </w:r>
      <w:r w:rsidR="00163AD5" w:rsidRPr="00641712">
        <w:rPr>
          <w:rFonts w:cstheme="minorHAnsi"/>
          <w:iCs/>
          <w:sz w:val="24"/>
          <w:szCs w:val="24"/>
        </w:rPr>
        <w:t>istraživačko razvojnog projekta Deep sea u iznosu od 20.833,79 eur</w:t>
      </w:r>
      <w:r w:rsidR="00163AD5">
        <w:rPr>
          <w:rFonts w:cstheme="minorHAnsi"/>
          <w:iCs/>
          <w:sz w:val="24"/>
          <w:szCs w:val="24"/>
        </w:rPr>
        <w:t xml:space="preserve"> prema posljednjem završnom izvješću</w:t>
      </w:r>
      <w:r w:rsidRPr="00641712">
        <w:rPr>
          <w:rFonts w:cstheme="minorHAnsi"/>
          <w:iCs/>
          <w:sz w:val="24"/>
          <w:szCs w:val="24"/>
        </w:rPr>
        <w:t>.</w:t>
      </w:r>
    </w:p>
    <w:p w14:paraId="2F604893" w14:textId="77777777" w:rsidR="00CB4DD7" w:rsidRDefault="00CB4DD7" w:rsidP="00F72849">
      <w:pPr>
        <w:tabs>
          <w:tab w:val="left" w:pos="777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22199605" w14:textId="77777777" w:rsidR="00CB4DD7" w:rsidRDefault="00CB4DD7" w:rsidP="00F72849">
      <w:pPr>
        <w:tabs>
          <w:tab w:val="left" w:pos="7770"/>
        </w:tabs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241361BA" w14:textId="77777777" w:rsidR="00F72849" w:rsidRPr="008F4F1B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6C79B4">
        <w:rPr>
          <w:rFonts w:cstheme="minorHAnsi"/>
          <w:b/>
          <w:bCs/>
          <w:iCs/>
          <w:sz w:val="24"/>
          <w:szCs w:val="24"/>
        </w:rPr>
        <w:lastRenderedPageBreak/>
        <w:t xml:space="preserve"> </w:t>
      </w:r>
      <w:r w:rsidRPr="008F4F1B">
        <w:rPr>
          <w:rFonts w:cstheme="minorHAnsi"/>
          <w:b/>
          <w:bCs/>
          <w:iCs/>
          <w:sz w:val="24"/>
          <w:szCs w:val="24"/>
        </w:rPr>
        <w:t>NOVAC U BANCI I BLAGAJNI</w:t>
      </w:r>
    </w:p>
    <w:p w14:paraId="1698ECBF" w14:textId="4CD97A3D" w:rsidR="00F72849" w:rsidRPr="00085B4C" w:rsidRDefault="00F72849" w:rsidP="00F72849">
      <w:pPr>
        <w:tabs>
          <w:tab w:val="left" w:pos="-180"/>
        </w:tabs>
        <w:spacing w:before="240" w:after="0" w:line="240" w:lineRule="auto"/>
        <w:ind w:right="70"/>
        <w:jc w:val="both"/>
        <w:rPr>
          <w:rFonts w:cstheme="minorHAnsi"/>
          <w:iCs/>
          <w:sz w:val="24"/>
          <w:szCs w:val="24"/>
        </w:rPr>
      </w:pPr>
      <w:r w:rsidRPr="008F4F1B">
        <w:rPr>
          <w:rFonts w:cstheme="minorHAnsi"/>
          <w:sz w:val="24"/>
          <w:szCs w:val="24"/>
        </w:rPr>
        <w:t xml:space="preserve">Novčana sredstva iznose </w:t>
      </w:r>
      <w:r w:rsidR="006C79B4" w:rsidRPr="008F4F1B">
        <w:rPr>
          <w:rFonts w:cstheme="minorHAnsi"/>
          <w:sz w:val="24"/>
          <w:szCs w:val="24"/>
        </w:rPr>
        <w:t xml:space="preserve">2.184.803,19 eur </w:t>
      </w:r>
      <w:r w:rsidRPr="008F4F1B">
        <w:rPr>
          <w:rFonts w:cstheme="minorHAnsi"/>
          <w:sz w:val="24"/>
          <w:szCs w:val="24"/>
        </w:rPr>
        <w:t>(202</w:t>
      </w:r>
      <w:r w:rsidR="006C79B4" w:rsidRPr="008F4F1B">
        <w:rPr>
          <w:rFonts w:cstheme="minorHAnsi"/>
          <w:sz w:val="24"/>
          <w:szCs w:val="24"/>
        </w:rPr>
        <w:t>2</w:t>
      </w:r>
      <w:r w:rsidRPr="008F4F1B">
        <w:rPr>
          <w:rFonts w:cstheme="minorHAnsi"/>
          <w:sz w:val="24"/>
          <w:szCs w:val="24"/>
        </w:rPr>
        <w:t xml:space="preserve">.: </w:t>
      </w:r>
      <w:r w:rsidR="006C79B4" w:rsidRPr="008F4F1B">
        <w:rPr>
          <w:rFonts w:cstheme="minorHAnsi"/>
          <w:sz w:val="24"/>
          <w:szCs w:val="24"/>
        </w:rPr>
        <w:t>1.677.088,</w:t>
      </w:r>
      <w:r w:rsidR="008F4F1B" w:rsidRPr="008F4F1B">
        <w:rPr>
          <w:rFonts w:cstheme="minorHAnsi"/>
          <w:sz w:val="24"/>
          <w:szCs w:val="24"/>
        </w:rPr>
        <w:t>5</w:t>
      </w:r>
      <w:r w:rsidR="006C79B4" w:rsidRPr="008F4F1B">
        <w:rPr>
          <w:rFonts w:cstheme="minorHAnsi"/>
          <w:sz w:val="24"/>
          <w:szCs w:val="24"/>
        </w:rPr>
        <w:t>9 eur</w:t>
      </w:r>
      <w:r w:rsidRPr="008F4F1B">
        <w:rPr>
          <w:rFonts w:cstheme="minorHAnsi"/>
          <w:sz w:val="24"/>
          <w:szCs w:val="24"/>
        </w:rPr>
        <w:t>), a odnose se na stanje na računu koje je</w:t>
      </w:r>
      <w:r w:rsidRPr="008F4F1B">
        <w:rPr>
          <w:rFonts w:cstheme="minorHAnsi"/>
          <w:iCs/>
          <w:sz w:val="24"/>
          <w:szCs w:val="24"/>
        </w:rPr>
        <w:t xml:space="preserve"> usuglašeno s izvodom otvorenih stavki banke na dan 31. prosinca 202</w:t>
      </w:r>
      <w:r w:rsidR="00941C8B" w:rsidRPr="008F4F1B">
        <w:rPr>
          <w:rFonts w:cstheme="minorHAnsi"/>
          <w:iCs/>
          <w:sz w:val="24"/>
          <w:szCs w:val="24"/>
        </w:rPr>
        <w:t>3</w:t>
      </w:r>
      <w:r w:rsidRPr="008F4F1B">
        <w:rPr>
          <w:rFonts w:cstheme="minorHAnsi"/>
          <w:iCs/>
          <w:sz w:val="24"/>
          <w:szCs w:val="24"/>
        </w:rPr>
        <w:t>. godine.</w:t>
      </w:r>
      <w:r w:rsidRPr="00085B4C">
        <w:rPr>
          <w:rFonts w:cstheme="minorHAnsi"/>
          <w:iCs/>
          <w:sz w:val="24"/>
          <w:szCs w:val="24"/>
        </w:rPr>
        <w:t xml:space="preserve"> </w:t>
      </w:r>
    </w:p>
    <w:p w14:paraId="03BF1C81" w14:textId="77777777" w:rsidR="00F72849" w:rsidRPr="00085B4C" w:rsidRDefault="00F72849" w:rsidP="00F72849">
      <w:pPr>
        <w:tabs>
          <w:tab w:val="left" w:pos="-180"/>
        </w:tabs>
        <w:spacing w:before="240" w:after="0" w:line="240" w:lineRule="auto"/>
        <w:ind w:right="70"/>
        <w:jc w:val="both"/>
        <w:rPr>
          <w:rFonts w:cstheme="minorHAnsi"/>
          <w:iCs/>
          <w:sz w:val="24"/>
          <w:szCs w:val="24"/>
        </w:rPr>
      </w:pPr>
    </w:p>
    <w:p w14:paraId="55B52E6B" w14:textId="77777777" w:rsidR="00F72849" w:rsidRPr="00D239B6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D239B6">
        <w:rPr>
          <w:rFonts w:cstheme="minorHAnsi"/>
          <w:b/>
          <w:bCs/>
          <w:iCs/>
          <w:sz w:val="24"/>
          <w:szCs w:val="24"/>
        </w:rPr>
        <w:t xml:space="preserve">KAPITAL I REZERVE </w:t>
      </w:r>
    </w:p>
    <w:p w14:paraId="22C2A97F" w14:textId="77777777" w:rsidR="00F72849" w:rsidRPr="00D239B6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D239B6">
        <w:rPr>
          <w:rFonts w:cstheme="minorHAnsi"/>
          <w:iCs/>
          <w:sz w:val="24"/>
          <w:szCs w:val="24"/>
        </w:rPr>
        <w:t>Stanje i promjene na kapitalu prikazujemo kako slijedi:</w:t>
      </w:r>
    </w:p>
    <w:bookmarkStart w:id="45" w:name="_MON_1364278270"/>
    <w:bookmarkEnd w:id="45"/>
    <w:p w14:paraId="46C37948" w14:textId="2ACAF778" w:rsidR="00F72849" w:rsidRPr="003B0EC3" w:rsidRDefault="00CB4DD7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  <w:highlight w:val="cyan"/>
        </w:rPr>
      </w:pPr>
      <w:r w:rsidRPr="00900F8F">
        <w:rPr>
          <w:rFonts w:cstheme="minorHAnsi"/>
          <w:b/>
          <w:bCs/>
          <w:iCs/>
          <w:sz w:val="24"/>
          <w:szCs w:val="24"/>
        </w:rPr>
        <w:object w:dxaOrig="11212" w:dyaOrig="3404" w14:anchorId="11854DB3">
          <v:shape id="_x0000_i1033" type="#_x0000_t75" style="width:388.9pt;height:175.65pt" o:ole="">
            <v:imagedata r:id="rId26" o:title=""/>
          </v:shape>
          <o:OLEObject Type="Embed" ProgID="Excel.Sheet.8" ShapeID="_x0000_i1033" DrawAspect="Content" ObjectID="_1778063313" r:id="rId27"/>
        </w:object>
      </w:r>
    </w:p>
    <w:p w14:paraId="54109493" w14:textId="77777777" w:rsidR="00F72849" w:rsidRPr="001E470D" w:rsidRDefault="00F72849" w:rsidP="00F72849">
      <w:pPr>
        <w:spacing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bookmarkStart w:id="46" w:name="_MON_1364277873"/>
      <w:bookmarkStart w:id="47" w:name="_MON_1364278009"/>
      <w:bookmarkStart w:id="48" w:name="_MON_1364278200"/>
      <w:bookmarkStart w:id="49" w:name="_MON_1364278229"/>
      <w:bookmarkStart w:id="50" w:name="_MON_1364278270"/>
      <w:bookmarkStart w:id="51" w:name="_MON_1364278317"/>
      <w:bookmarkStart w:id="52" w:name="_MON_1364278330"/>
      <w:bookmarkStart w:id="53" w:name="_MON_1394434740"/>
      <w:bookmarkStart w:id="54" w:name="_MON_1394434783"/>
      <w:bookmarkStart w:id="55" w:name="_MON_1394434879"/>
      <w:bookmarkStart w:id="56" w:name="_MON_1394435050"/>
      <w:bookmarkStart w:id="57" w:name="_MON_1394435133"/>
      <w:bookmarkStart w:id="58" w:name="_MON_1394435146"/>
      <w:bookmarkStart w:id="59" w:name="_MON_1394435158"/>
      <w:bookmarkStart w:id="60" w:name="_MON_1394435391"/>
      <w:bookmarkStart w:id="61" w:name="_MON_1394436969"/>
      <w:bookmarkStart w:id="62" w:name="_MON_1364122887"/>
      <w:bookmarkStart w:id="63" w:name="_MON_1364369759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272F0F5F" w14:textId="531869C5" w:rsidR="00616B96" w:rsidRPr="001E470D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1E470D">
        <w:rPr>
          <w:rFonts w:cstheme="minorHAnsi"/>
          <w:b/>
          <w:iCs/>
          <w:sz w:val="24"/>
          <w:szCs w:val="24"/>
        </w:rPr>
        <w:t>/i/</w:t>
      </w:r>
      <w:r w:rsidRPr="001E470D">
        <w:rPr>
          <w:rFonts w:cstheme="minorHAnsi"/>
          <w:iCs/>
          <w:sz w:val="24"/>
          <w:szCs w:val="24"/>
        </w:rPr>
        <w:tab/>
      </w:r>
      <w:r w:rsidR="00616B96" w:rsidRPr="001E470D">
        <w:rPr>
          <w:rFonts w:cstheme="minorHAnsi"/>
          <w:iCs/>
          <w:sz w:val="24"/>
          <w:szCs w:val="24"/>
        </w:rPr>
        <w:t>Sukladno Zakonu o uvođenju eura kao službene valute u Republici Hrvatskoj (NN 37/2022, 88/2022), Društvo je uskladilo t</w:t>
      </w:r>
      <w:r w:rsidRPr="001E470D">
        <w:rPr>
          <w:rFonts w:cstheme="minorHAnsi"/>
          <w:iCs/>
          <w:sz w:val="24"/>
          <w:szCs w:val="24"/>
        </w:rPr>
        <w:t xml:space="preserve">emeljni </w:t>
      </w:r>
      <w:r w:rsidR="00616B96" w:rsidRPr="001E470D">
        <w:rPr>
          <w:rFonts w:cstheme="minorHAnsi"/>
          <w:iCs/>
          <w:sz w:val="24"/>
          <w:szCs w:val="24"/>
        </w:rPr>
        <w:t>kapital s odredbama Zakona o trgovačkim društvima koje uređuju temeljni kapital i nominalne iznose poslovnih udjela</w:t>
      </w:r>
      <w:r w:rsidR="00F94A86">
        <w:rPr>
          <w:rFonts w:cstheme="minorHAnsi"/>
          <w:iCs/>
          <w:sz w:val="24"/>
          <w:szCs w:val="24"/>
        </w:rPr>
        <w:t xml:space="preserve"> (Rješenje Trgovačkog suda u Rijeci broj Tt-23/4428-3 od 07.08.2023. godine)</w:t>
      </w:r>
      <w:r w:rsidR="00616B96" w:rsidRPr="001E470D">
        <w:rPr>
          <w:rFonts w:cstheme="minorHAnsi"/>
          <w:iCs/>
          <w:sz w:val="24"/>
          <w:szCs w:val="24"/>
        </w:rPr>
        <w:t>.</w:t>
      </w:r>
    </w:p>
    <w:p w14:paraId="1B20A7F1" w14:textId="45254296" w:rsidR="00F72849" w:rsidRPr="001E470D" w:rsidRDefault="001E470D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1E470D">
        <w:rPr>
          <w:rFonts w:cstheme="minorHAnsi"/>
          <w:iCs/>
          <w:sz w:val="24"/>
          <w:szCs w:val="24"/>
        </w:rPr>
        <w:t xml:space="preserve">Temeljni </w:t>
      </w:r>
      <w:r w:rsidR="00F72849" w:rsidRPr="001E470D">
        <w:rPr>
          <w:rFonts w:cstheme="minorHAnsi"/>
          <w:iCs/>
          <w:sz w:val="24"/>
          <w:szCs w:val="24"/>
        </w:rPr>
        <w:t>ulozi osnivača na dan 31. prosinca 202</w:t>
      </w:r>
      <w:r w:rsidR="007E1FC9" w:rsidRPr="001E470D">
        <w:rPr>
          <w:rFonts w:cstheme="minorHAnsi"/>
          <w:iCs/>
          <w:sz w:val="24"/>
          <w:szCs w:val="24"/>
        </w:rPr>
        <w:t>3</w:t>
      </w:r>
      <w:r w:rsidR="00F72849" w:rsidRPr="001E470D">
        <w:rPr>
          <w:rFonts w:cstheme="minorHAnsi"/>
          <w:iCs/>
          <w:sz w:val="24"/>
          <w:szCs w:val="24"/>
        </w:rPr>
        <w:t>. godine iznose:</w:t>
      </w:r>
      <w:r w:rsidR="00381882" w:rsidRPr="001E470D">
        <w:rPr>
          <w:rFonts w:cstheme="minorHAnsi"/>
          <w:iCs/>
          <w:sz w:val="24"/>
          <w:szCs w:val="24"/>
        </w:rPr>
        <w:t xml:space="preserve"> </w:t>
      </w:r>
    </w:p>
    <w:bookmarkStart w:id="64" w:name="_MON_1775491076"/>
    <w:bookmarkEnd w:id="64"/>
    <w:p w14:paraId="5F258CBF" w14:textId="54C8C40E" w:rsidR="00D239B6" w:rsidRPr="003B0EC3" w:rsidRDefault="000D1B28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  <w:highlight w:val="cyan"/>
        </w:rPr>
      </w:pPr>
      <w:r w:rsidRPr="00D239B6">
        <w:rPr>
          <w:rFonts w:cstheme="minorHAnsi"/>
          <w:iCs/>
          <w:sz w:val="24"/>
          <w:szCs w:val="24"/>
        </w:rPr>
        <w:object w:dxaOrig="8714" w:dyaOrig="4017" w14:anchorId="10D54888">
          <v:shape id="_x0000_i1034" type="#_x0000_t75" style="width:435.65pt;height:200.85pt" o:ole="">
            <v:imagedata r:id="rId28" o:title=""/>
          </v:shape>
          <o:OLEObject Type="Embed" ProgID="Excel.Sheet.12" ShapeID="_x0000_i1034" DrawAspect="Content" ObjectID="_1778063314" r:id="rId29"/>
        </w:object>
      </w:r>
    </w:p>
    <w:p w14:paraId="5C300B3B" w14:textId="77777777" w:rsidR="00F72849" w:rsidRPr="003B0EC3" w:rsidRDefault="00F72849" w:rsidP="00F72849">
      <w:pPr>
        <w:spacing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  <w:highlight w:val="cyan"/>
        </w:rPr>
      </w:pPr>
    </w:p>
    <w:p w14:paraId="3A2BBCA3" w14:textId="3FB94D56" w:rsidR="00F72849" w:rsidRPr="004A3DE7" w:rsidRDefault="00F72849" w:rsidP="00F72849">
      <w:pPr>
        <w:spacing w:before="240" w:after="0" w:line="240" w:lineRule="auto"/>
        <w:ind w:right="92"/>
        <w:jc w:val="both"/>
        <w:rPr>
          <w:rFonts w:cstheme="minorHAnsi"/>
          <w:sz w:val="24"/>
          <w:szCs w:val="24"/>
        </w:rPr>
      </w:pPr>
      <w:r w:rsidRPr="004A3DE7">
        <w:rPr>
          <w:rFonts w:cstheme="minorHAnsi"/>
          <w:b/>
          <w:sz w:val="24"/>
          <w:szCs w:val="24"/>
        </w:rPr>
        <w:lastRenderedPageBreak/>
        <w:t>/ii/</w:t>
      </w:r>
      <w:r w:rsidRPr="004A3DE7">
        <w:rPr>
          <w:rFonts w:cstheme="minorHAnsi"/>
          <w:sz w:val="24"/>
          <w:szCs w:val="24"/>
        </w:rPr>
        <w:tab/>
        <w:t>Kapitalne rezerve iskazane su na dan 31.12.202</w:t>
      </w:r>
      <w:r w:rsidR="004A3DE7" w:rsidRPr="004A3DE7">
        <w:rPr>
          <w:rFonts w:cstheme="minorHAnsi"/>
          <w:sz w:val="24"/>
          <w:szCs w:val="24"/>
        </w:rPr>
        <w:t>3</w:t>
      </w:r>
      <w:r w:rsidRPr="004A3DE7">
        <w:rPr>
          <w:rFonts w:cstheme="minorHAnsi"/>
          <w:sz w:val="24"/>
          <w:szCs w:val="24"/>
        </w:rPr>
        <w:t xml:space="preserve">. godine u iznosu od </w:t>
      </w:r>
      <w:r w:rsidR="004A3DE7" w:rsidRPr="004A3DE7">
        <w:rPr>
          <w:rFonts w:cstheme="minorHAnsi"/>
          <w:sz w:val="24"/>
          <w:szCs w:val="24"/>
        </w:rPr>
        <w:t xml:space="preserve">973.962,68 eur, </w:t>
      </w:r>
      <w:r w:rsidRPr="004A3DE7">
        <w:rPr>
          <w:rFonts w:cstheme="minorHAnsi"/>
          <w:sz w:val="24"/>
          <w:szCs w:val="24"/>
        </w:rPr>
        <w:t>a odnose se na ulaganja osnivača (jedinica lokalne samouprave).</w:t>
      </w:r>
    </w:p>
    <w:p w14:paraId="3AF089C3" w14:textId="77777777" w:rsidR="00F72849" w:rsidRPr="004A3DE7" w:rsidRDefault="00F72849" w:rsidP="00F72849">
      <w:pPr>
        <w:spacing w:before="240" w:after="0" w:line="240" w:lineRule="auto"/>
        <w:ind w:right="-148"/>
        <w:jc w:val="both"/>
        <w:rPr>
          <w:rFonts w:cstheme="minorHAnsi"/>
          <w:iCs/>
          <w:sz w:val="24"/>
          <w:szCs w:val="24"/>
        </w:rPr>
      </w:pPr>
      <w:r w:rsidRPr="004A3DE7">
        <w:rPr>
          <w:rFonts w:cstheme="minorHAnsi"/>
          <w:iCs/>
          <w:sz w:val="24"/>
          <w:szCs w:val="24"/>
        </w:rPr>
        <w:t>Kapitalne rezerve po osnivačima iznose:</w:t>
      </w:r>
    </w:p>
    <w:bookmarkStart w:id="65" w:name="_MON_1647259048"/>
    <w:bookmarkEnd w:id="65"/>
    <w:p w14:paraId="38E1E1CC" w14:textId="7CD12D63" w:rsidR="00F72849" w:rsidRPr="004A3DE7" w:rsidRDefault="004A3DE7" w:rsidP="00F72849">
      <w:pPr>
        <w:spacing w:before="240" w:after="0" w:line="240" w:lineRule="auto"/>
        <w:ind w:right="-148"/>
        <w:jc w:val="both"/>
        <w:rPr>
          <w:rFonts w:cstheme="minorHAnsi"/>
          <w:iCs/>
          <w:sz w:val="24"/>
          <w:szCs w:val="24"/>
        </w:rPr>
      </w:pPr>
      <w:r w:rsidRPr="004A3DE7">
        <w:rPr>
          <w:rFonts w:cstheme="minorHAnsi"/>
          <w:iCs/>
          <w:sz w:val="24"/>
          <w:szCs w:val="24"/>
        </w:rPr>
        <w:object w:dxaOrig="4584" w:dyaOrig="2955" w14:anchorId="42027D08">
          <v:shape id="_x0000_i1035" type="#_x0000_t75" style="width:216.9pt;height:2in" o:ole="">
            <v:imagedata r:id="rId30" o:title=""/>
          </v:shape>
          <o:OLEObject Type="Embed" ProgID="Excel.Sheet.12" ShapeID="_x0000_i1035" DrawAspect="Content" ObjectID="_1778063315" r:id="rId31"/>
        </w:object>
      </w:r>
    </w:p>
    <w:p w14:paraId="4CA00E6C" w14:textId="77777777" w:rsidR="00F72849" w:rsidRPr="00276C61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276C61">
        <w:rPr>
          <w:rFonts w:cstheme="minorHAnsi"/>
          <w:b/>
          <w:bCs/>
          <w:iCs/>
          <w:sz w:val="24"/>
          <w:szCs w:val="24"/>
        </w:rPr>
        <w:t xml:space="preserve">DUGOROČNE OBVEZE </w:t>
      </w:r>
    </w:p>
    <w:p w14:paraId="335631BB" w14:textId="602504B9" w:rsidR="00F72849" w:rsidRPr="004A3DE7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4A3DE7">
        <w:rPr>
          <w:rFonts w:cstheme="minorHAnsi"/>
          <w:iCs/>
          <w:sz w:val="24"/>
          <w:szCs w:val="24"/>
        </w:rPr>
        <w:t xml:space="preserve">Dugoročne obveze predstavljaju obvezu po kreditima Erste &amp; Steiermakische banke te obveze po leasinzima Erste &amp; Steiermakische S-Leasing d.o.o. </w:t>
      </w:r>
    </w:p>
    <w:p w14:paraId="0CBEAD60" w14:textId="19212282" w:rsidR="00F72849" w:rsidRPr="004A3DE7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  <w:highlight w:val="cyan"/>
        </w:rPr>
      </w:pPr>
      <w:r w:rsidRPr="004A3DE7">
        <w:rPr>
          <w:rFonts w:cstheme="minorHAnsi"/>
          <w:iCs/>
          <w:sz w:val="24"/>
          <w:szCs w:val="24"/>
        </w:rPr>
        <w:t>Društvo nema obveza u stranoj valuti ili obveza s valutnom klauzulom pa nema potrebe svođenja istih na srednji tečaj Hrvatske narodne banke na dan 31. prosinca 202</w:t>
      </w:r>
      <w:r w:rsidR="004A3DE7" w:rsidRPr="004A3DE7">
        <w:rPr>
          <w:rFonts w:cstheme="minorHAnsi"/>
          <w:iCs/>
          <w:sz w:val="24"/>
          <w:szCs w:val="24"/>
        </w:rPr>
        <w:t>3</w:t>
      </w:r>
      <w:r w:rsidRPr="004A3DE7">
        <w:rPr>
          <w:rFonts w:cstheme="minorHAnsi"/>
          <w:iCs/>
          <w:sz w:val="24"/>
          <w:szCs w:val="24"/>
        </w:rPr>
        <w:t>. godine.</w:t>
      </w:r>
    </w:p>
    <w:p w14:paraId="0A0DF892" w14:textId="4AB73A2D" w:rsidR="00F72849" w:rsidRPr="004A3DE7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4A3DE7">
        <w:rPr>
          <w:rFonts w:cstheme="minorHAnsi"/>
          <w:iCs/>
          <w:sz w:val="24"/>
          <w:szCs w:val="24"/>
        </w:rPr>
        <w:t>Promjene na dugoročnim obvezama u 202</w:t>
      </w:r>
      <w:r w:rsidR="00155358" w:rsidRPr="004A3DE7">
        <w:rPr>
          <w:rFonts w:cstheme="minorHAnsi"/>
          <w:iCs/>
          <w:sz w:val="24"/>
          <w:szCs w:val="24"/>
        </w:rPr>
        <w:t>3</w:t>
      </w:r>
      <w:r w:rsidRPr="004A3DE7">
        <w:rPr>
          <w:rFonts w:cstheme="minorHAnsi"/>
          <w:iCs/>
          <w:sz w:val="24"/>
          <w:szCs w:val="24"/>
        </w:rPr>
        <w:t>. godini bile su sljedeće:</w:t>
      </w:r>
    </w:p>
    <w:bookmarkStart w:id="66" w:name="_MON_1647260070"/>
    <w:bookmarkEnd w:id="66"/>
    <w:p w14:paraId="5505B176" w14:textId="711FB775" w:rsidR="00F72849" w:rsidRPr="00276334" w:rsidRDefault="001E470D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276334">
        <w:rPr>
          <w:rFonts w:cstheme="minorHAnsi"/>
          <w:iCs/>
          <w:sz w:val="24"/>
          <w:szCs w:val="24"/>
        </w:rPr>
        <w:object w:dxaOrig="8214" w:dyaOrig="3594" w14:anchorId="74836DCD">
          <v:shape id="_x0000_i1036" type="#_x0000_t75" style="width:398.5pt;height:172.45pt" o:ole="">
            <v:imagedata r:id="rId32" o:title=""/>
          </v:shape>
          <o:OLEObject Type="Embed" ProgID="Excel.Sheet.12" ShapeID="_x0000_i1036" DrawAspect="Content" ObjectID="_1778063316" r:id="rId33"/>
        </w:object>
      </w:r>
    </w:p>
    <w:p w14:paraId="5675CD17" w14:textId="77777777" w:rsidR="00F72849" w:rsidRPr="00276334" w:rsidRDefault="00F72849" w:rsidP="00F72849">
      <w:pPr>
        <w:spacing w:after="0" w:line="240" w:lineRule="auto"/>
        <w:ind w:right="92"/>
        <w:jc w:val="both"/>
        <w:rPr>
          <w:rFonts w:cstheme="minorHAnsi"/>
          <w:b/>
          <w:bCs/>
          <w:sz w:val="24"/>
          <w:szCs w:val="24"/>
        </w:rPr>
      </w:pPr>
    </w:p>
    <w:p w14:paraId="0049C14D" w14:textId="308AD09A" w:rsidR="00F72849" w:rsidRPr="00276334" w:rsidRDefault="00F72849" w:rsidP="00F72849">
      <w:pPr>
        <w:spacing w:before="240" w:after="0" w:line="240" w:lineRule="auto"/>
        <w:ind w:right="92"/>
        <w:jc w:val="both"/>
        <w:rPr>
          <w:rFonts w:cstheme="minorHAnsi"/>
          <w:sz w:val="24"/>
          <w:szCs w:val="24"/>
        </w:rPr>
      </w:pPr>
      <w:r w:rsidRPr="00276334">
        <w:rPr>
          <w:rFonts w:cstheme="minorHAnsi"/>
          <w:b/>
          <w:bCs/>
          <w:sz w:val="24"/>
          <w:szCs w:val="24"/>
        </w:rPr>
        <w:t xml:space="preserve">/i/          </w:t>
      </w:r>
      <w:r w:rsidRPr="00276334">
        <w:rPr>
          <w:rFonts w:cstheme="minorHAnsi"/>
          <w:sz w:val="24"/>
          <w:szCs w:val="24"/>
        </w:rPr>
        <w:t xml:space="preserve">Društvo je s Erste </w:t>
      </w:r>
      <w:r w:rsidRPr="00276334">
        <w:rPr>
          <w:rFonts w:cstheme="minorHAnsi"/>
          <w:iCs/>
          <w:sz w:val="24"/>
          <w:szCs w:val="24"/>
        </w:rPr>
        <w:t xml:space="preserve">&amp; </w:t>
      </w:r>
      <w:r w:rsidRPr="00276334">
        <w:rPr>
          <w:rFonts w:cstheme="minorHAnsi"/>
          <w:sz w:val="24"/>
          <w:szCs w:val="24"/>
        </w:rPr>
        <w:t xml:space="preserve">Steiermarkische S-leasing sklopilo ugovor o financijskom lizingu za dva vozila za prikupljanje otpada u iznosu od ukupno </w:t>
      </w:r>
      <w:r w:rsidR="00276334">
        <w:rPr>
          <w:rFonts w:cstheme="minorHAnsi"/>
          <w:sz w:val="24"/>
          <w:szCs w:val="24"/>
        </w:rPr>
        <w:t>331.300,00 eur</w:t>
      </w:r>
      <w:r w:rsidRPr="00276334">
        <w:rPr>
          <w:rFonts w:cstheme="minorHAnsi"/>
          <w:sz w:val="24"/>
          <w:szCs w:val="24"/>
        </w:rPr>
        <w:t xml:space="preserve"> (</w:t>
      </w:r>
      <w:r w:rsidR="00276334">
        <w:rPr>
          <w:rFonts w:cstheme="minorHAnsi"/>
          <w:sz w:val="24"/>
          <w:szCs w:val="24"/>
        </w:rPr>
        <w:t>131.300,00 eur</w:t>
      </w:r>
      <w:r w:rsidRPr="00276334">
        <w:rPr>
          <w:rFonts w:cstheme="minorHAnsi"/>
          <w:sz w:val="24"/>
          <w:szCs w:val="24"/>
        </w:rPr>
        <w:t xml:space="preserve"> i  </w:t>
      </w:r>
      <w:r w:rsidR="00276334">
        <w:rPr>
          <w:rFonts w:cstheme="minorHAnsi"/>
          <w:sz w:val="24"/>
          <w:szCs w:val="24"/>
        </w:rPr>
        <w:t>200.000,00 eur</w:t>
      </w:r>
      <w:r w:rsidRPr="00276334">
        <w:rPr>
          <w:rFonts w:cstheme="minorHAnsi"/>
          <w:sz w:val="24"/>
          <w:szCs w:val="24"/>
        </w:rPr>
        <w:t>).</w:t>
      </w:r>
    </w:p>
    <w:p w14:paraId="3A56C8D2" w14:textId="4AA32773" w:rsidR="00F72849" w:rsidRPr="002865D6" w:rsidRDefault="00F72849" w:rsidP="00F72849">
      <w:pPr>
        <w:spacing w:before="240" w:after="0" w:line="240" w:lineRule="auto"/>
        <w:ind w:right="92"/>
        <w:jc w:val="both"/>
        <w:rPr>
          <w:rFonts w:cstheme="minorHAnsi"/>
          <w:sz w:val="24"/>
          <w:szCs w:val="24"/>
        </w:rPr>
      </w:pPr>
      <w:r w:rsidRPr="002865D6">
        <w:rPr>
          <w:rFonts w:cstheme="minorHAnsi"/>
          <w:b/>
          <w:bCs/>
          <w:sz w:val="24"/>
          <w:szCs w:val="24"/>
        </w:rPr>
        <w:t>/ii/</w:t>
      </w:r>
      <w:r w:rsidRPr="002865D6">
        <w:rPr>
          <w:rFonts w:cstheme="minorHAnsi"/>
          <w:sz w:val="24"/>
          <w:szCs w:val="24"/>
        </w:rPr>
        <w:t>         Sredstva za otplatu tekućeg dijela dugoročnih obveza po kreditu i leasingu koje dospijevaju u 202</w:t>
      </w:r>
      <w:r w:rsidR="004A3DE7" w:rsidRPr="002865D6">
        <w:rPr>
          <w:rFonts w:cstheme="minorHAnsi"/>
          <w:sz w:val="24"/>
          <w:szCs w:val="24"/>
        </w:rPr>
        <w:t>3</w:t>
      </w:r>
      <w:r w:rsidRPr="002865D6">
        <w:rPr>
          <w:rFonts w:cstheme="minorHAnsi"/>
          <w:sz w:val="24"/>
          <w:szCs w:val="24"/>
        </w:rPr>
        <w:t xml:space="preserve">. godini u iznosu od </w:t>
      </w:r>
      <w:r w:rsidR="004A3DE7" w:rsidRPr="002865D6">
        <w:rPr>
          <w:rFonts w:cstheme="minorHAnsi"/>
          <w:sz w:val="24"/>
          <w:szCs w:val="24"/>
        </w:rPr>
        <w:t>1.131.137,09 eur</w:t>
      </w:r>
      <w:r w:rsidRPr="002865D6">
        <w:rPr>
          <w:rFonts w:cstheme="minorHAnsi"/>
          <w:sz w:val="24"/>
          <w:szCs w:val="24"/>
        </w:rPr>
        <w:t xml:space="preserve"> osigurava Društvo, a </w:t>
      </w:r>
      <w:r w:rsidR="004A3DE7" w:rsidRPr="002865D6">
        <w:rPr>
          <w:rFonts w:cstheme="minorHAnsi"/>
          <w:sz w:val="24"/>
          <w:szCs w:val="24"/>
        </w:rPr>
        <w:t>544.138,11 eur</w:t>
      </w:r>
      <w:r w:rsidRPr="002865D6">
        <w:rPr>
          <w:rFonts w:cstheme="minorHAnsi"/>
          <w:sz w:val="24"/>
          <w:szCs w:val="24"/>
        </w:rPr>
        <w:t xml:space="preserve"> osigurava društvo SMART ISLAND KRK d.o.o. (Bilješka 6.).</w:t>
      </w:r>
    </w:p>
    <w:p w14:paraId="2E62E96C" w14:textId="7865F8B3" w:rsidR="00F72849" w:rsidRPr="001E470D" w:rsidRDefault="00F72849" w:rsidP="00F72849">
      <w:pPr>
        <w:spacing w:before="240" w:after="0" w:line="240" w:lineRule="auto"/>
        <w:ind w:right="92"/>
        <w:jc w:val="both"/>
        <w:rPr>
          <w:rFonts w:cstheme="minorHAnsi"/>
          <w:color w:val="FF0000"/>
          <w:sz w:val="24"/>
          <w:szCs w:val="24"/>
        </w:rPr>
      </w:pPr>
      <w:r w:rsidRPr="002865D6">
        <w:rPr>
          <w:rFonts w:cstheme="minorHAnsi"/>
          <w:b/>
          <w:bCs/>
          <w:sz w:val="24"/>
          <w:szCs w:val="24"/>
        </w:rPr>
        <w:lastRenderedPageBreak/>
        <w:t>/i</w:t>
      </w:r>
      <w:r w:rsidR="002865D6" w:rsidRPr="002865D6">
        <w:rPr>
          <w:rFonts w:cstheme="minorHAnsi"/>
          <w:b/>
          <w:bCs/>
          <w:sz w:val="24"/>
          <w:szCs w:val="24"/>
        </w:rPr>
        <w:t>ii</w:t>
      </w:r>
      <w:r w:rsidRPr="002865D6">
        <w:rPr>
          <w:rFonts w:cstheme="minorHAnsi"/>
          <w:b/>
          <w:bCs/>
          <w:sz w:val="24"/>
          <w:szCs w:val="24"/>
        </w:rPr>
        <w:t>/</w:t>
      </w:r>
      <w:r w:rsidRPr="002865D6">
        <w:rPr>
          <w:rFonts w:cstheme="minorHAnsi"/>
          <w:sz w:val="24"/>
          <w:szCs w:val="24"/>
        </w:rPr>
        <w:t xml:space="preserve"> </w:t>
      </w:r>
      <w:r w:rsidRPr="002865D6">
        <w:rPr>
          <w:rFonts w:cstheme="minorHAnsi"/>
          <w:sz w:val="24"/>
          <w:szCs w:val="24"/>
        </w:rPr>
        <w:tab/>
        <w:t xml:space="preserve">Ukupna dugoročna obveza od </w:t>
      </w:r>
      <w:r w:rsidR="002865D6" w:rsidRPr="002865D6">
        <w:rPr>
          <w:rFonts w:cstheme="minorHAnsi"/>
          <w:sz w:val="24"/>
          <w:szCs w:val="24"/>
        </w:rPr>
        <w:t>1.252.684,75 eur</w:t>
      </w:r>
      <w:r w:rsidRPr="002865D6">
        <w:rPr>
          <w:rFonts w:cstheme="minorHAnsi"/>
          <w:sz w:val="24"/>
          <w:szCs w:val="24"/>
        </w:rPr>
        <w:t xml:space="preserve"> sadrži i dio obveze čiju otplatu osigurava društvo SMART ISLAND KRK d.o.o. u iznosu od </w:t>
      </w:r>
      <w:r w:rsidR="002865D6" w:rsidRPr="002865D6">
        <w:rPr>
          <w:rFonts w:cstheme="minorHAnsi"/>
          <w:sz w:val="24"/>
          <w:szCs w:val="24"/>
        </w:rPr>
        <w:t>376.710,99 eur</w:t>
      </w:r>
      <w:r w:rsidRPr="002865D6">
        <w:rPr>
          <w:rFonts w:cstheme="minorHAnsi"/>
          <w:sz w:val="24"/>
          <w:szCs w:val="24"/>
        </w:rPr>
        <w:t xml:space="preserve">. Kako je navedeno u Bilješci 6. radi se o kreditu za financiranje izgradnje EKI mreže koja je podjelom pripala društvu SMART ISLAND KRK d.o.o. Kredit je ostao u Društvu, ali se formiraju identična potraživanja Društva prema društvu SMART ISLAND KRK d.o.o. Kredit je ugovoren 2020. godine u iznosu od </w:t>
      </w:r>
      <w:r w:rsidR="002865D6" w:rsidRPr="002865D6">
        <w:rPr>
          <w:rFonts w:cstheme="minorHAnsi"/>
          <w:sz w:val="24"/>
          <w:szCs w:val="24"/>
        </w:rPr>
        <w:t>837.135,57 eur</w:t>
      </w:r>
      <w:r w:rsidRPr="002865D6">
        <w:rPr>
          <w:rFonts w:cstheme="minorHAnsi"/>
          <w:sz w:val="24"/>
          <w:szCs w:val="24"/>
        </w:rPr>
        <w:t xml:space="preserve"> uz fiksnu kamatnu stopu 1,63%. </w:t>
      </w:r>
      <w:r w:rsidR="001E470D">
        <w:rPr>
          <w:rFonts w:cstheme="minorHAnsi"/>
          <w:sz w:val="24"/>
          <w:szCs w:val="24"/>
        </w:rPr>
        <w:t xml:space="preserve">Posljednja rata otplate kredita je 31.03.2027. godine. </w:t>
      </w:r>
      <w:r w:rsidRPr="002865D6">
        <w:rPr>
          <w:rFonts w:cstheme="minorHAnsi"/>
          <w:sz w:val="24"/>
          <w:szCs w:val="24"/>
        </w:rPr>
        <w:t>Za osiguranje povrata kredita Društvo je izdalo zadužnicu na iznos od</w:t>
      </w:r>
      <w:r w:rsidR="002865D6" w:rsidRPr="002865D6">
        <w:rPr>
          <w:rFonts w:cstheme="minorHAnsi"/>
          <w:sz w:val="24"/>
          <w:szCs w:val="24"/>
        </w:rPr>
        <w:t xml:space="preserve"> </w:t>
      </w:r>
      <w:r w:rsidR="002865D6" w:rsidRPr="001E470D">
        <w:rPr>
          <w:rFonts w:cstheme="minorHAnsi"/>
          <w:sz w:val="24"/>
          <w:szCs w:val="24"/>
        </w:rPr>
        <w:t xml:space="preserve">837.135,57 eur </w:t>
      </w:r>
      <w:r w:rsidRPr="001E470D">
        <w:rPr>
          <w:rFonts w:cstheme="minorHAnsi"/>
          <w:sz w:val="24"/>
          <w:szCs w:val="24"/>
        </w:rPr>
        <w:t>(Bilješka 1</w:t>
      </w:r>
      <w:r w:rsidR="001E470D" w:rsidRPr="001E470D">
        <w:rPr>
          <w:rFonts w:cstheme="minorHAnsi"/>
          <w:sz w:val="24"/>
          <w:szCs w:val="24"/>
        </w:rPr>
        <w:t>4</w:t>
      </w:r>
      <w:r w:rsidRPr="001E470D">
        <w:rPr>
          <w:rFonts w:cstheme="minorHAnsi"/>
          <w:sz w:val="24"/>
          <w:szCs w:val="24"/>
        </w:rPr>
        <w:t>).</w:t>
      </w:r>
    </w:p>
    <w:p w14:paraId="23A19280" w14:textId="77777777" w:rsidR="00F72849" w:rsidRPr="001E470D" w:rsidRDefault="00F72849" w:rsidP="00F72849">
      <w:pPr>
        <w:spacing w:before="240"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</w:pPr>
      <w:r w:rsidRPr="001E470D">
        <w:rPr>
          <w:rFonts w:cstheme="minorHAnsi"/>
          <w:sz w:val="24"/>
          <w:szCs w:val="24"/>
        </w:rPr>
        <w:t>Detaljan pregled dugoročnih kredita i leasinga prikazan je</w:t>
      </w:r>
      <w:r w:rsidRPr="001E470D">
        <w:rPr>
          <w:rFonts w:ascii="Calibri" w:eastAsia="Times New Roman" w:hAnsi="Calibri" w:cs="Times New Roman"/>
          <w:iCs/>
          <w:sz w:val="24"/>
          <w:szCs w:val="24"/>
        </w:rPr>
        <w:t xml:space="preserve"> u nastavku.</w:t>
      </w:r>
    </w:p>
    <w:p w14:paraId="087E102B" w14:textId="77777777" w:rsidR="00F72849" w:rsidRPr="001E470D" w:rsidRDefault="00F72849" w:rsidP="00F72849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</w:rPr>
        <w:sectPr w:rsidR="00F72849" w:rsidRPr="001E470D" w:rsidSect="002438E6">
          <w:headerReference w:type="default" r:id="rId34"/>
          <w:footerReference w:type="default" r:id="rId35"/>
          <w:pgSz w:w="11906" w:h="16838"/>
          <w:pgMar w:top="1417" w:right="1417" w:bottom="1560" w:left="1417" w:header="708" w:footer="561" w:gutter="0"/>
          <w:cols w:space="708"/>
          <w:docGrid w:linePitch="360"/>
        </w:sectPr>
      </w:pPr>
    </w:p>
    <w:p w14:paraId="673F0907" w14:textId="2C98A3B7" w:rsidR="00F72849" w:rsidRPr="003B0EC3" w:rsidRDefault="00F72849" w:rsidP="00F72849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  <w:highlight w:val="cyan"/>
        </w:rPr>
      </w:pPr>
    </w:p>
    <w:p w14:paraId="2194CA20" w14:textId="77777777" w:rsidR="009064EF" w:rsidRDefault="009064EF" w:rsidP="009064EF">
      <w:pPr>
        <w:pStyle w:val="NormalWeb"/>
      </w:pPr>
      <w:r>
        <w:rPr>
          <w:noProof/>
        </w:rPr>
        <w:drawing>
          <wp:inline distT="0" distB="0" distL="0" distR="0" wp14:anchorId="641AE5D2" wp14:editId="0C6640FC">
            <wp:extent cx="9384466" cy="514511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726" cy="517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A2F5A" w14:textId="77777777" w:rsidR="00F72849" w:rsidRPr="003B0EC3" w:rsidRDefault="00F72849" w:rsidP="00F72849">
      <w:pPr>
        <w:spacing w:after="0" w:line="240" w:lineRule="auto"/>
        <w:ind w:right="92"/>
        <w:jc w:val="both"/>
        <w:rPr>
          <w:rFonts w:ascii="Calibri" w:eastAsia="Times New Roman" w:hAnsi="Calibri" w:cs="Times New Roman"/>
          <w:iCs/>
          <w:sz w:val="24"/>
          <w:szCs w:val="24"/>
          <w:highlight w:val="cyan"/>
        </w:rPr>
        <w:sectPr w:rsidR="00F72849" w:rsidRPr="003B0EC3" w:rsidSect="002438E6">
          <w:headerReference w:type="default" r:id="rId37"/>
          <w:footerReference w:type="default" r:id="rId3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107796B" w14:textId="77777777" w:rsidR="00F72849" w:rsidRPr="002865D6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2865D6">
        <w:rPr>
          <w:rFonts w:cstheme="minorHAnsi"/>
          <w:b/>
          <w:bCs/>
          <w:iCs/>
          <w:sz w:val="24"/>
          <w:szCs w:val="24"/>
        </w:rPr>
        <w:lastRenderedPageBreak/>
        <w:t xml:space="preserve">KRATKOROČNE OBVEZE </w:t>
      </w:r>
    </w:p>
    <w:p w14:paraId="26C9E31A" w14:textId="22151776" w:rsidR="00F72849" w:rsidRPr="001D1A13" w:rsidRDefault="00F72849" w:rsidP="00F72849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2865D6">
        <w:rPr>
          <w:rFonts w:cstheme="minorHAnsi"/>
          <w:bCs/>
          <w:iCs/>
          <w:sz w:val="24"/>
          <w:szCs w:val="24"/>
        </w:rPr>
        <w:t>Kratkoročne obveze na dan 31.</w:t>
      </w:r>
      <w:r w:rsidR="002865D6" w:rsidRPr="002865D6">
        <w:rPr>
          <w:rFonts w:cstheme="minorHAnsi"/>
          <w:bCs/>
          <w:iCs/>
          <w:sz w:val="24"/>
          <w:szCs w:val="24"/>
        </w:rPr>
        <w:t xml:space="preserve">12.2023. </w:t>
      </w:r>
      <w:r w:rsidRPr="002865D6">
        <w:rPr>
          <w:rFonts w:cstheme="minorHAnsi"/>
          <w:bCs/>
          <w:iCs/>
          <w:sz w:val="24"/>
          <w:szCs w:val="24"/>
        </w:rPr>
        <w:t xml:space="preserve">iznose </w:t>
      </w:r>
      <w:r w:rsidR="002865D6" w:rsidRPr="002865D6">
        <w:rPr>
          <w:rFonts w:cstheme="minorHAnsi"/>
          <w:bCs/>
          <w:iCs/>
          <w:sz w:val="24"/>
          <w:szCs w:val="24"/>
        </w:rPr>
        <w:t xml:space="preserve">945.981,39 eur </w:t>
      </w:r>
      <w:r w:rsidRPr="002865D6">
        <w:rPr>
          <w:rFonts w:cstheme="minorHAnsi"/>
          <w:bCs/>
          <w:iCs/>
          <w:sz w:val="24"/>
          <w:szCs w:val="24"/>
        </w:rPr>
        <w:t>(202</w:t>
      </w:r>
      <w:r w:rsidR="004F3C21" w:rsidRPr="002865D6">
        <w:rPr>
          <w:rFonts w:cstheme="minorHAnsi"/>
          <w:bCs/>
          <w:iCs/>
          <w:sz w:val="24"/>
          <w:szCs w:val="24"/>
        </w:rPr>
        <w:t>2</w:t>
      </w:r>
      <w:r w:rsidRPr="002865D6">
        <w:rPr>
          <w:rFonts w:cstheme="minorHAnsi"/>
          <w:bCs/>
          <w:iCs/>
          <w:sz w:val="24"/>
          <w:szCs w:val="24"/>
        </w:rPr>
        <w:t xml:space="preserve">.: </w:t>
      </w:r>
      <w:r w:rsidR="002865D6" w:rsidRPr="002865D6">
        <w:rPr>
          <w:rFonts w:cstheme="minorHAnsi"/>
          <w:bCs/>
          <w:iCs/>
          <w:sz w:val="24"/>
          <w:szCs w:val="24"/>
        </w:rPr>
        <w:t>1.039.180,36 eur</w:t>
      </w:r>
      <w:r w:rsidRPr="002865D6">
        <w:rPr>
          <w:rFonts w:cstheme="minorHAnsi"/>
          <w:bCs/>
          <w:iCs/>
          <w:sz w:val="24"/>
          <w:szCs w:val="24"/>
        </w:rPr>
        <w:t xml:space="preserve">), a odnose se na obveze prema dobavljačima u iznosu </w:t>
      </w:r>
      <w:r w:rsidR="00164D78" w:rsidRPr="002865D6">
        <w:rPr>
          <w:rFonts w:cstheme="minorHAnsi"/>
          <w:bCs/>
          <w:iCs/>
          <w:sz w:val="24"/>
          <w:szCs w:val="24"/>
        </w:rPr>
        <w:t>212.997,29 eur</w:t>
      </w:r>
      <w:r w:rsidRPr="002865D6">
        <w:rPr>
          <w:rFonts w:cstheme="minorHAnsi"/>
          <w:bCs/>
          <w:iCs/>
          <w:sz w:val="24"/>
          <w:szCs w:val="24"/>
        </w:rPr>
        <w:t xml:space="preserve"> (202</w:t>
      </w:r>
      <w:r w:rsidR="00164D78" w:rsidRPr="002865D6">
        <w:rPr>
          <w:rFonts w:cstheme="minorHAnsi"/>
          <w:bCs/>
          <w:iCs/>
          <w:sz w:val="24"/>
          <w:szCs w:val="24"/>
        </w:rPr>
        <w:t>2</w:t>
      </w:r>
      <w:r w:rsidRPr="002865D6">
        <w:rPr>
          <w:rFonts w:cstheme="minorHAnsi"/>
          <w:bCs/>
          <w:iCs/>
          <w:sz w:val="24"/>
          <w:szCs w:val="24"/>
        </w:rPr>
        <w:t xml:space="preserve">.: </w:t>
      </w:r>
      <w:r w:rsidR="00164D78" w:rsidRPr="002865D6">
        <w:rPr>
          <w:rFonts w:cstheme="minorHAnsi"/>
          <w:bCs/>
          <w:iCs/>
          <w:sz w:val="24"/>
          <w:szCs w:val="24"/>
        </w:rPr>
        <w:t>311.051,07 eur</w:t>
      </w:r>
      <w:r w:rsidRPr="002865D6">
        <w:rPr>
          <w:rFonts w:cstheme="minorHAnsi"/>
          <w:bCs/>
          <w:iCs/>
          <w:sz w:val="24"/>
          <w:szCs w:val="24"/>
        </w:rPr>
        <w:t xml:space="preserve">), kratkoročne obveze po kreditima </w:t>
      </w:r>
      <w:r w:rsidR="006977C0" w:rsidRPr="002865D6">
        <w:rPr>
          <w:rFonts w:cstheme="minorHAnsi"/>
          <w:bCs/>
          <w:iCs/>
          <w:sz w:val="24"/>
          <w:szCs w:val="24"/>
        </w:rPr>
        <w:t>422.590,45 eur</w:t>
      </w:r>
      <w:r w:rsidRPr="002865D6">
        <w:rPr>
          <w:rFonts w:cstheme="minorHAnsi"/>
          <w:bCs/>
          <w:iCs/>
          <w:sz w:val="24"/>
          <w:szCs w:val="24"/>
        </w:rPr>
        <w:t xml:space="preserve"> (202</w:t>
      </w:r>
      <w:r w:rsidR="006977C0" w:rsidRPr="002865D6">
        <w:rPr>
          <w:rFonts w:cstheme="minorHAnsi"/>
          <w:bCs/>
          <w:iCs/>
          <w:sz w:val="24"/>
          <w:szCs w:val="24"/>
        </w:rPr>
        <w:t>2</w:t>
      </w:r>
      <w:r w:rsidRPr="002865D6">
        <w:rPr>
          <w:rFonts w:cstheme="minorHAnsi"/>
          <w:bCs/>
          <w:iCs/>
          <w:sz w:val="24"/>
          <w:szCs w:val="24"/>
        </w:rPr>
        <w:t xml:space="preserve">.: </w:t>
      </w:r>
      <w:r w:rsidR="006977C0" w:rsidRPr="002865D6">
        <w:rPr>
          <w:rFonts w:cstheme="minorHAnsi"/>
          <w:bCs/>
          <w:iCs/>
          <w:sz w:val="24"/>
          <w:szCs w:val="24"/>
        </w:rPr>
        <w:t>410.068,12 eur</w:t>
      </w:r>
      <w:r w:rsidRPr="002865D6">
        <w:rPr>
          <w:rFonts w:cstheme="minorHAnsi"/>
          <w:bCs/>
          <w:iCs/>
          <w:sz w:val="24"/>
          <w:szCs w:val="24"/>
        </w:rPr>
        <w:t>),</w:t>
      </w:r>
      <w:r w:rsidRPr="005C2608">
        <w:rPr>
          <w:rFonts w:cstheme="minorHAnsi"/>
          <w:bCs/>
          <w:iCs/>
          <w:sz w:val="24"/>
          <w:szCs w:val="24"/>
        </w:rPr>
        <w:t xml:space="preserve"> </w:t>
      </w:r>
      <w:r w:rsidRPr="00200C47">
        <w:rPr>
          <w:rFonts w:cstheme="minorHAnsi"/>
          <w:bCs/>
          <w:iCs/>
          <w:sz w:val="24"/>
          <w:szCs w:val="24"/>
        </w:rPr>
        <w:t xml:space="preserve"> </w:t>
      </w:r>
      <w:r w:rsidRPr="002865D6">
        <w:rPr>
          <w:rFonts w:cstheme="minorHAnsi"/>
          <w:bCs/>
          <w:iCs/>
          <w:sz w:val="24"/>
          <w:szCs w:val="24"/>
        </w:rPr>
        <w:t xml:space="preserve">obveze za poreze, doprinose i slična davanja </w:t>
      </w:r>
      <w:r w:rsidR="002865D6" w:rsidRPr="002865D6">
        <w:rPr>
          <w:rFonts w:cstheme="minorHAnsi"/>
          <w:bCs/>
          <w:iCs/>
          <w:sz w:val="24"/>
          <w:szCs w:val="24"/>
        </w:rPr>
        <w:t>141.209,89 eur</w:t>
      </w:r>
      <w:r w:rsidRPr="002865D6">
        <w:rPr>
          <w:rFonts w:cstheme="minorHAnsi"/>
          <w:bCs/>
          <w:iCs/>
          <w:sz w:val="24"/>
          <w:szCs w:val="24"/>
        </w:rPr>
        <w:t xml:space="preserve"> (202</w:t>
      </w:r>
      <w:r w:rsidR="002865D6" w:rsidRPr="002865D6">
        <w:rPr>
          <w:rFonts w:cstheme="minorHAnsi"/>
          <w:bCs/>
          <w:iCs/>
          <w:sz w:val="24"/>
          <w:szCs w:val="24"/>
        </w:rPr>
        <w:t>2</w:t>
      </w:r>
      <w:r w:rsidRPr="002865D6">
        <w:rPr>
          <w:rFonts w:cstheme="minorHAnsi"/>
          <w:bCs/>
          <w:iCs/>
          <w:sz w:val="24"/>
          <w:szCs w:val="24"/>
        </w:rPr>
        <w:t xml:space="preserve">.: </w:t>
      </w:r>
      <w:r w:rsidR="002865D6" w:rsidRPr="002865D6">
        <w:rPr>
          <w:rFonts w:cstheme="minorHAnsi"/>
          <w:bCs/>
          <w:iCs/>
          <w:sz w:val="24"/>
          <w:szCs w:val="24"/>
        </w:rPr>
        <w:t>153.962,85 eur</w:t>
      </w:r>
      <w:r w:rsidRPr="002865D6">
        <w:rPr>
          <w:rFonts w:cstheme="minorHAnsi"/>
          <w:bCs/>
          <w:iCs/>
          <w:sz w:val="24"/>
          <w:szCs w:val="24"/>
        </w:rPr>
        <w:t xml:space="preserve">), </w:t>
      </w:r>
      <w:r w:rsidRPr="003A0F6E">
        <w:rPr>
          <w:rFonts w:cstheme="minorHAnsi"/>
          <w:bCs/>
          <w:iCs/>
          <w:sz w:val="24"/>
          <w:szCs w:val="24"/>
        </w:rPr>
        <w:t xml:space="preserve">obveze prema zaposlenicima </w:t>
      </w:r>
      <w:r w:rsidR="003A0F6E">
        <w:rPr>
          <w:rFonts w:cstheme="minorHAnsi"/>
          <w:bCs/>
          <w:iCs/>
          <w:sz w:val="24"/>
          <w:szCs w:val="24"/>
        </w:rPr>
        <w:t>157.490,07 eur</w:t>
      </w:r>
      <w:r w:rsidRPr="003A0F6E">
        <w:rPr>
          <w:rFonts w:cstheme="minorHAnsi"/>
          <w:bCs/>
          <w:iCs/>
          <w:sz w:val="24"/>
          <w:szCs w:val="24"/>
        </w:rPr>
        <w:t xml:space="preserve"> (202</w:t>
      </w:r>
      <w:r w:rsidR="003A0F6E">
        <w:rPr>
          <w:rFonts w:cstheme="minorHAnsi"/>
          <w:bCs/>
          <w:iCs/>
          <w:sz w:val="24"/>
          <w:szCs w:val="24"/>
        </w:rPr>
        <w:t>2</w:t>
      </w:r>
      <w:r w:rsidRPr="003A0F6E">
        <w:rPr>
          <w:rFonts w:cstheme="minorHAnsi"/>
          <w:bCs/>
          <w:iCs/>
          <w:sz w:val="24"/>
          <w:szCs w:val="24"/>
        </w:rPr>
        <w:t xml:space="preserve">.: </w:t>
      </w:r>
      <w:r w:rsidR="003A0F6E">
        <w:rPr>
          <w:rFonts w:cstheme="minorHAnsi"/>
          <w:bCs/>
          <w:iCs/>
          <w:sz w:val="24"/>
          <w:szCs w:val="24"/>
        </w:rPr>
        <w:t>117.582,46 eur</w:t>
      </w:r>
      <w:r w:rsidRPr="001D1A13">
        <w:rPr>
          <w:rFonts w:cstheme="minorHAnsi"/>
          <w:bCs/>
          <w:iCs/>
          <w:sz w:val="24"/>
          <w:szCs w:val="24"/>
        </w:rPr>
        <w:t xml:space="preserve">), obveze za primljena jamstva </w:t>
      </w:r>
      <w:r w:rsidR="001D1A13" w:rsidRPr="00AA30B3">
        <w:rPr>
          <w:rFonts w:cstheme="minorHAnsi"/>
          <w:bCs/>
          <w:iCs/>
          <w:sz w:val="24"/>
          <w:szCs w:val="24"/>
        </w:rPr>
        <w:t>11.626,78 eur</w:t>
      </w:r>
      <w:r w:rsidRPr="00AA30B3">
        <w:rPr>
          <w:rFonts w:cstheme="minorHAnsi"/>
          <w:bCs/>
          <w:iCs/>
          <w:sz w:val="24"/>
          <w:szCs w:val="24"/>
        </w:rPr>
        <w:t xml:space="preserve"> (202</w:t>
      </w:r>
      <w:r w:rsidR="001D1A13" w:rsidRPr="00AA30B3">
        <w:rPr>
          <w:rFonts w:cstheme="minorHAnsi"/>
          <w:bCs/>
          <w:iCs/>
          <w:sz w:val="24"/>
          <w:szCs w:val="24"/>
        </w:rPr>
        <w:t>2</w:t>
      </w:r>
      <w:r w:rsidRPr="00AA30B3">
        <w:rPr>
          <w:rFonts w:cstheme="minorHAnsi"/>
          <w:bCs/>
          <w:iCs/>
          <w:sz w:val="24"/>
          <w:szCs w:val="24"/>
        </w:rPr>
        <w:t xml:space="preserve">.: </w:t>
      </w:r>
      <w:r w:rsidR="001D1A13" w:rsidRPr="00AA30B3">
        <w:rPr>
          <w:rFonts w:cstheme="minorHAnsi"/>
          <w:bCs/>
          <w:iCs/>
          <w:sz w:val="24"/>
          <w:szCs w:val="24"/>
        </w:rPr>
        <w:t>5.133,63 eur</w:t>
      </w:r>
      <w:r w:rsidRPr="00AA30B3">
        <w:rPr>
          <w:rFonts w:cstheme="minorHAnsi"/>
          <w:bCs/>
          <w:iCs/>
          <w:sz w:val="24"/>
          <w:szCs w:val="24"/>
        </w:rPr>
        <w:t xml:space="preserve">) te ostale obveze u iznosu </w:t>
      </w:r>
      <w:r w:rsidR="00AA30B3" w:rsidRPr="00AA30B3">
        <w:rPr>
          <w:rFonts w:cstheme="minorHAnsi"/>
          <w:bCs/>
          <w:iCs/>
          <w:sz w:val="24"/>
          <w:szCs w:val="24"/>
        </w:rPr>
        <w:t>66,91 eur</w:t>
      </w:r>
      <w:r w:rsidRPr="00AA30B3">
        <w:rPr>
          <w:rFonts w:cstheme="minorHAnsi"/>
          <w:bCs/>
          <w:iCs/>
          <w:sz w:val="24"/>
          <w:szCs w:val="24"/>
        </w:rPr>
        <w:t xml:space="preserve"> (202</w:t>
      </w:r>
      <w:r w:rsidR="00AA30B3" w:rsidRPr="00AA30B3">
        <w:rPr>
          <w:rFonts w:cstheme="minorHAnsi"/>
          <w:bCs/>
          <w:iCs/>
          <w:sz w:val="24"/>
          <w:szCs w:val="24"/>
        </w:rPr>
        <w:t>2</w:t>
      </w:r>
      <w:r w:rsidRPr="00AA30B3">
        <w:rPr>
          <w:rFonts w:cstheme="minorHAnsi"/>
          <w:bCs/>
          <w:iCs/>
          <w:sz w:val="24"/>
          <w:szCs w:val="24"/>
        </w:rPr>
        <w:t xml:space="preserve">.: </w:t>
      </w:r>
      <w:r w:rsidR="00AA30B3" w:rsidRPr="00AA30B3">
        <w:rPr>
          <w:rFonts w:cstheme="minorHAnsi"/>
          <w:bCs/>
          <w:iCs/>
          <w:sz w:val="24"/>
          <w:szCs w:val="24"/>
        </w:rPr>
        <w:t>28,79 eur</w:t>
      </w:r>
      <w:r w:rsidRPr="00AA30B3">
        <w:rPr>
          <w:rFonts w:cstheme="minorHAnsi"/>
          <w:bCs/>
          <w:iCs/>
          <w:sz w:val="24"/>
          <w:szCs w:val="24"/>
        </w:rPr>
        <w:t>).</w:t>
      </w:r>
    </w:p>
    <w:p w14:paraId="2A1A1F22" w14:textId="77777777" w:rsidR="00F72849" w:rsidRPr="008430EB" w:rsidRDefault="00F72849" w:rsidP="00F72849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1D1A13">
        <w:rPr>
          <w:rFonts w:cstheme="minorHAnsi"/>
          <w:bCs/>
          <w:iCs/>
          <w:sz w:val="24"/>
          <w:szCs w:val="24"/>
        </w:rPr>
        <w:t>Značajnije obveze prema dobavljačima prikazujemo u nastavku:</w:t>
      </w:r>
    </w:p>
    <w:p w14:paraId="47292827" w14:textId="77777777" w:rsidR="00F72849" w:rsidRPr="003B0EC3" w:rsidRDefault="00F72849" w:rsidP="00F72849">
      <w:pPr>
        <w:spacing w:after="0" w:line="240" w:lineRule="auto"/>
        <w:ind w:right="92"/>
        <w:jc w:val="both"/>
        <w:rPr>
          <w:rFonts w:cstheme="minorHAnsi"/>
          <w:bCs/>
          <w:iCs/>
          <w:sz w:val="24"/>
          <w:szCs w:val="24"/>
          <w:highlight w:val="cyan"/>
        </w:rPr>
      </w:pPr>
    </w:p>
    <w:tbl>
      <w:tblPr>
        <w:tblW w:w="40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01"/>
      </w:tblGrid>
      <w:tr w:rsidR="008430EB" w:rsidRPr="003B0EC3" w14:paraId="510E0A46" w14:textId="77777777" w:rsidTr="008430EB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40FB" w14:textId="18478A91" w:rsidR="008430EB" w:rsidRPr="008430EB" w:rsidRDefault="008430EB" w:rsidP="008430EB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8430EB">
              <w:rPr>
                <w:rFonts w:cstheme="minorHAnsi"/>
                <w:iCs/>
                <w:sz w:val="24"/>
                <w:szCs w:val="24"/>
              </w:rPr>
              <w:t>Ekoplus d.o.o</w:t>
            </w:r>
            <w:r w:rsidRPr="008430EB">
              <w:rPr>
                <w:rFonts w:cstheme="minorHAnsi"/>
                <w:iCs/>
                <w:sz w:val="24"/>
                <w:szCs w:val="24"/>
              </w:rPr>
              <w:tab/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845F" w14:textId="09C77A67" w:rsidR="008430EB" w:rsidRPr="008430EB" w:rsidRDefault="008430EB" w:rsidP="008430EB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hr-HR"/>
              </w:rPr>
              <w:t>66.650,83</w:t>
            </w:r>
          </w:p>
        </w:tc>
      </w:tr>
      <w:tr w:rsidR="008430EB" w:rsidRPr="003B0EC3" w14:paraId="206B6F28" w14:textId="77777777" w:rsidTr="008430EB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1080" w14:textId="402DFA33" w:rsidR="008430EB" w:rsidRPr="008430EB" w:rsidRDefault="008430EB" w:rsidP="008430EB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iCs/>
                <w:sz w:val="24"/>
                <w:szCs w:val="24"/>
              </w:rPr>
              <w:t>Ponikve usluga d.o.o.</w:t>
            </w:r>
            <w:r w:rsidRPr="008430EB">
              <w:rPr>
                <w:rFonts w:cstheme="minorHAnsi"/>
                <w:iCs/>
                <w:sz w:val="24"/>
                <w:szCs w:val="24"/>
              </w:rPr>
              <w:tab/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B5A5" w14:textId="13033C45" w:rsidR="008430EB" w:rsidRPr="008430EB" w:rsidRDefault="008430EB" w:rsidP="008430EB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hr-HR"/>
              </w:rPr>
              <w:t>32.226,31</w:t>
            </w:r>
          </w:p>
        </w:tc>
      </w:tr>
      <w:tr w:rsidR="008430EB" w:rsidRPr="003B0EC3" w14:paraId="1C486AE2" w14:textId="77777777" w:rsidTr="008430EB">
        <w:trPr>
          <w:trHeight w:val="294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20CE" w14:textId="31BF9298" w:rsidR="008430EB" w:rsidRPr="008430EB" w:rsidRDefault="008430EB" w:rsidP="008430E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8430EB">
              <w:rPr>
                <w:rFonts w:cstheme="minorHAnsi"/>
                <w:sz w:val="24"/>
                <w:szCs w:val="24"/>
                <w:lang w:eastAsia="hr-HR"/>
              </w:rPr>
              <w:t>Ina industrija nafte</w:t>
            </w:r>
            <w:r>
              <w:rPr>
                <w:rFonts w:cstheme="minorHAnsi"/>
                <w:sz w:val="24"/>
                <w:szCs w:val="24"/>
                <w:lang w:eastAsia="hr-HR"/>
              </w:rPr>
              <w:t xml:space="preserve"> d.d.</w:t>
            </w:r>
          </w:p>
        </w:tc>
        <w:tc>
          <w:tcPr>
            <w:tcW w:w="15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5F6B" w14:textId="7E2BD3FE" w:rsidR="008430EB" w:rsidRPr="008430EB" w:rsidRDefault="008430EB" w:rsidP="008430EB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hr-HR"/>
              </w:rPr>
              <w:t>22.326,66</w:t>
            </w:r>
          </w:p>
        </w:tc>
      </w:tr>
      <w:tr w:rsidR="008430EB" w:rsidRPr="003B0EC3" w14:paraId="33A10626" w14:textId="77777777" w:rsidTr="008430EB">
        <w:trPr>
          <w:trHeight w:val="294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1FDE" w14:textId="0143436B" w:rsidR="008430EB" w:rsidRPr="008430EB" w:rsidRDefault="008430EB" w:rsidP="008430EB">
            <w:pPr>
              <w:spacing w:after="0" w:line="240" w:lineRule="auto"/>
              <w:rPr>
                <w:rFonts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Pinel Krk d.o.o.</w:t>
            </w:r>
          </w:p>
        </w:tc>
        <w:tc>
          <w:tcPr>
            <w:tcW w:w="15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513B" w14:textId="7270A890" w:rsidR="008430EB" w:rsidRPr="008430EB" w:rsidRDefault="008430EB" w:rsidP="008430EB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 w:eastAsia="hr-HR"/>
              </w:rPr>
              <w:t>15.766,87</w:t>
            </w:r>
          </w:p>
        </w:tc>
      </w:tr>
      <w:tr w:rsidR="008430EB" w:rsidRPr="003B0EC3" w14:paraId="4DAEA1AD" w14:textId="77777777" w:rsidTr="008430EB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9EBF" w14:textId="16409BF5" w:rsidR="008430EB" w:rsidRPr="008430EB" w:rsidRDefault="008430EB" w:rsidP="008430E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hr-HR"/>
              </w:rPr>
              <w:t>Smart island Krk d.o.o.</w:t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CF0B" w14:textId="3D7A5C93" w:rsidR="008430EB" w:rsidRPr="008430EB" w:rsidRDefault="008430EB" w:rsidP="008430EB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hr-HR"/>
              </w:rPr>
              <w:t>9.263,77</w:t>
            </w:r>
          </w:p>
        </w:tc>
      </w:tr>
      <w:tr w:rsidR="008430EB" w:rsidRPr="003B0EC3" w14:paraId="516C2B58" w14:textId="77777777" w:rsidTr="008430EB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4B08" w14:textId="77123125" w:rsidR="008430EB" w:rsidRPr="008430EB" w:rsidRDefault="008430EB" w:rsidP="008430E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hr-HR"/>
              </w:rPr>
              <w:t>Metis d.d.</w:t>
            </w:r>
          </w:p>
        </w:tc>
        <w:tc>
          <w:tcPr>
            <w:tcW w:w="15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3BEF" w14:textId="75679BF9" w:rsidR="008430EB" w:rsidRPr="008430EB" w:rsidRDefault="008430EB" w:rsidP="008430EB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hr-HR"/>
              </w:rPr>
              <w:t>9.176,24</w:t>
            </w:r>
          </w:p>
        </w:tc>
      </w:tr>
      <w:tr w:rsidR="008430EB" w:rsidRPr="003B0EC3" w14:paraId="0ACE7BC7" w14:textId="77777777" w:rsidTr="008430EB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C1E9" w14:textId="30EE5D95" w:rsidR="008430EB" w:rsidRPr="008430EB" w:rsidRDefault="008430EB" w:rsidP="008430EB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hr-HR"/>
              </w:rPr>
              <w:t>Eco mobile d.o.o.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D38C" w14:textId="1B1148D6" w:rsidR="008430EB" w:rsidRPr="008430EB" w:rsidRDefault="008430EB" w:rsidP="008430EB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hr-HR"/>
              </w:rPr>
              <w:t>3.669,68</w:t>
            </w:r>
          </w:p>
        </w:tc>
      </w:tr>
      <w:tr w:rsidR="008430EB" w:rsidRPr="003B0EC3" w14:paraId="38AECE4D" w14:textId="77777777" w:rsidTr="008430EB">
        <w:trPr>
          <w:trHeight w:val="294"/>
        </w:trPr>
        <w:tc>
          <w:tcPr>
            <w:tcW w:w="25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3392" w14:textId="77777777" w:rsidR="008430EB" w:rsidRPr="008430EB" w:rsidRDefault="008430EB" w:rsidP="008430EB">
            <w:pPr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eastAsia="hr-HR"/>
              </w:rPr>
            </w:pPr>
            <w:r w:rsidRPr="008430E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Ukupno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3D4E" w14:textId="252BE93F" w:rsidR="008430EB" w:rsidRPr="008430EB" w:rsidRDefault="008430EB" w:rsidP="008430EB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eastAsia="hr-HR"/>
              </w:rPr>
              <w:t xml:space="preserve">159.080,36 </w:t>
            </w:r>
          </w:p>
        </w:tc>
      </w:tr>
    </w:tbl>
    <w:p w14:paraId="252D2848" w14:textId="77777777" w:rsidR="00F72849" w:rsidRPr="00DF7E63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DF7E63">
        <w:rPr>
          <w:rFonts w:cstheme="minorHAnsi"/>
          <w:iCs/>
          <w:sz w:val="24"/>
          <w:szCs w:val="24"/>
        </w:rPr>
        <w:t xml:space="preserve">Do dana pisanja Bilješki Društvo je podmirilo sve dospjele obveze prema dobavljačima. </w:t>
      </w:r>
    </w:p>
    <w:p w14:paraId="506F107F" w14:textId="038B21FF" w:rsidR="00F72849" w:rsidRPr="00EE7ED6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EE7ED6">
        <w:rPr>
          <w:rFonts w:cstheme="minorHAnsi"/>
          <w:iCs/>
          <w:sz w:val="24"/>
          <w:szCs w:val="24"/>
        </w:rPr>
        <w:t>Obveze prema zaposlenicima odnose se na obveze za obračunatu plaću i naknade plaća za prosinac 202</w:t>
      </w:r>
      <w:r w:rsidR="00EE7ED6">
        <w:rPr>
          <w:rFonts w:cstheme="minorHAnsi"/>
          <w:iCs/>
          <w:sz w:val="24"/>
          <w:szCs w:val="24"/>
        </w:rPr>
        <w:t>3</w:t>
      </w:r>
      <w:r w:rsidRPr="00EE7ED6">
        <w:rPr>
          <w:rFonts w:cstheme="minorHAnsi"/>
          <w:iCs/>
          <w:sz w:val="24"/>
          <w:szCs w:val="24"/>
        </w:rPr>
        <w:t>. godine, a koja je isplaćena u siječnju 202</w:t>
      </w:r>
      <w:r w:rsidR="00EE7ED6">
        <w:rPr>
          <w:rFonts w:cstheme="minorHAnsi"/>
          <w:iCs/>
          <w:sz w:val="24"/>
          <w:szCs w:val="24"/>
        </w:rPr>
        <w:t>4</w:t>
      </w:r>
      <w:r w:rsidRPr="00EE7ED6">
        <w:rPr>
          <w:rFonts w:cstheme="minorHAnsi"/>
          <w:iCs/>
          <w:sz w:val="24"/>
          <w:szCs w:val="24"/>
        </w:rPr>
        <w:t>. godine.</w:t>
      </w:r>
    </w:p>
    <w:p w14:paraId="3F7E552A" w14:textId="77777777" w:rsidR="00F72849" w:rsidRPr="00AA30B3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6C961275" w14:textId="77777777" w:rsidR="00F72849" w:rsidRPr="00AA30B3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AA30B3">
        <w:rPr>
          <w:rFonts w:cstheme="minorHAnsi"/>
          <w:b/>
          <w:bCs/>
          <w:iCs/>
          <w:sz w:val="24"/>
          <w:szCs w:val="24"/>
        </w:rPr>
        <w:t>ODGOĐENO PLAĆANJE TROŠKOVA  I PRIHOD BUDUĆEG RAZDOBLJA</w:t>
      </w:r>
    </w:p>
    <w:p w14:paraId="544F096A" w14:textId="42EA17CB" w:rsidR="00F72849" w:rsidRPr="00AA30B3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A30B3">
        <w:rPr>
          <w:rFonts w:cstheme="minorHAnsi"/>
          <w:iCs/>
          <w:sz w:val="24"/>
          <w:szCs w:val="24"/>
        </w:rPr>
        <w:t>U Bilanci su na dan 31. prosinca 202</w:t>
      </w:r>
      <w:r w:rsidR="0084011D" w:rsidRPr="00AA30B3">
        <w:rPr>
          <w:rFonts w:cstheme="minorHAnsi"/>
          <w:iCs/>
          <w:sz w:val="24"/>
          <w:szCs w:val="24"/>
        </w:rPr>
        <w:t>3</w:t>
      </w:r>
      <w:r w:rsidRPr="00AA30B3">
        <w:rPr>
          <w:rFonts w:cstheme="minorHAnsi"/>
          <w:iCs/>
          <w:sz w:val="24"/>
          <w:szCs w:val="24"/>
        </w:rPr>
        <w:t xml:space="preserve">. godine iskazani odgođeni prihodi budućeg razdoblja i odgođeno plaćanje troškova u ukupnom iznosu od </w:t>
      </w:r>
      <w:r w:rsidR="0084011D" w:rsidRPr="00AA30B3">
        <w:rPr>
          <w:rFonts w:cstheme="minorHAnsi"/>
          <w:iCs/>
          <w:sz w:val="24"/>
          <w:szCs w:val="24"/>
        </w:rPr>
        <w:t>1.</w:t>
      </w:r>
      <w:r w:rsidR="00AA30B3" w:rsidRPr="00AA30B3">
        <w:rPr>
          <w:rFonts w:cstheme="minorHAnsi"/>
          <w:iCs/>
          <w:sz w:val="24"/>
          <w:szCs w:val="24"/>
        </w:rPr>
        <w:t>639.359,79</w:t>
      </w:r>
      <w:r w:rsidR="0084011D" w:rsidRPr="00AA30B3">
        <w:rPr>
          <w:rFonts w:cstheme="minorHAnsi"/>
          <w:iCs/>
          <w:sz w:val="24"/>
          <w:szCs w:val="24"/>
        </w:rPr>
        <w:t xml:space="preserve"> eur</w:t>
      </w:r>
      <w:r w:rsidRPr="00AA30B3">
        <w:rPr>
          <w:rFonts w:cstheme="minorHAnsi"/>
          <w:iCs/>
          <w:sz w:val="24"/>
          <w:szCs w:val="24"/>
        </w:rPr>
        <w:t xml:space="preserve"> (202</w:t>
      </w:r>
      <w:r w:rsidR="0084011D" w:rsidRPr="00AA30B3">
        <w:rPr>
          <w:rFonts w:cstheme="minorHAnsi"/>
          <w:iCs/>
          <w:sz w:val="24"/>
          <w:szCs w:val="24"/>
        </w:rPr>
        <w:t>2</w:t>
      </w:r>
      <w:r w:rsidRPr="00AA30B3">
        <w:rPr>
          <w:rFonts w:cstheme="minorHAnsi"/>
          <w:iCs/>
          <w:sz w:val="24"/>
          <w:szCs w:val="24"/>
        </w:rPr>
        <w:t>.:</w:t>
      </w:r>
      <w:r w:rsidR="0084011D" w:rsidRPr="00AA30B3">
        <w:rPr>
          <w:rFonts w:cstheme="minorHAnsi"/>
          <w:iCs/>
          <w:sz w:val="24"/>
          <w:szCs w:val="24"/>
        </w:rPr>
        <w:t>1.8</w:t>
      </w:r>
      <w:r w:rsidR="00AA30B3" w:rsidRPr="00AA30B3">
        <w:rPr>
          <w:rFonts w:cstheme="minorHAnsi"/>
          <w:iCs/>
          <w:sz w:val="24"/>
          <w:szCs w:val="24"/>
        </w:rPr>
        <w:t>3</w:t>
      </w:r>
      <w:r w:rsidR="0084011D" w:rsidRPr="00AA30B3">
        <w:rPr>
          <w:rFonts w:cstheme="minorHAnsi"/>
          <w:iCs/>
          <w:sz w:val="24"/>
          <w:szCs w:val="24"/>
        </w:rPr>
        <w:t>9.</w:t>
      </w:r>
      <w:r w:rsidR="00AA30B3" w:rsidRPr="00AA30B3">
        <w:rPr>
          <w:rFonts w:cstheme="minorHAnsi"/>
          <w:iCs/>
          <w:sz w:val="24"/>
          <w:szCs w:val="24"/>
        </w:rPr>
        <w:t>597,23</w:t>
      </w:r>
      <w:r w:rsidR="0084011D" w:rsidRPr="00AA30B3">
        <w:rPr>
          <w:rFonts w:cstheme="minorHAnsi"/>
          <w:iCs/>
          <w:sz w:val="24"/>
          <w:szCs w:val="24"/>
        </w:rPr>
        <w:t xml:space="preserve"> eur</w:t>
      </w:r>
      <w:r w:rsidRPr="00AA30B3">
        <w:rPr>
          <w:rFonts w:cstheme="minorHAnsi"/>
          <w:iCs/>
          <w:sz w:val="24"/>
          <w:szCs w:val="24"/>
        </w:rPr>
        <w:t>), a odnose se na:</w:t>
      </w:r>
      <w:bookmarkStart w:id="67" w:name="_MON_1395660672"/>
      <w:bookmarkStart w:id="68" w:name="_MON_1395660739"/>
      <w:bookmarkStart w:id="69" w:name="_MON_1395660835"/>
      <w:bookmarkStart w:id="70" w:name="_MON_1395660861"/>
      <w:bookmarkStart w:id="71" w:name="_MON_1395832374"/>
      <w:bookmarkStart w:id="72" w:name="_MON_1395210885"/>
      <w:bookmarkStart w:id="73" w:name="_MON_1395660338"/>
      <w:bookmarkStart w:id="74" w:name="_MON_1395660402"/>
      <w:bookmarkStart w:id="75" w:name="_MON_1395660492"/>
      <w:bookmarkStart w:id="76" w:name="_MON_1395660531"/>
      <w:bookmarkStart w:id="77" w:name="_MON_1395660628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77290B89" w14:textId="77777777" w:rsidR="00F72849" w:rsidRPr="00AA30B3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7CAC736A" w14:textId="77777777" w:rsidR="00F72849" w:rsidRPr="00AA30B3" w:rsidRDefault="00F72849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717EF89A" w14:textId="77777777" w:rsidR="001E470D" w:rsidRDefault="001E470D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31ACB99F" w14:textId="77777777" w:rsidR="001E470D" w:rsidRDefault="001E470D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bookmarkStart w:id="78" w:name="_MON_1395660596"/>
    <w:bookmarkEnd w:id="78"/>
    <w:p w14:paraId="7ED49207" w14:textId="2F141D17" w:rsidR="00F72849" w:rsidRPr="003B0EC3" w:rsidRDefault="00A35CE5" w:rsidP="00F72849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  <w:highlight w:val="cyan"/>
        </w:rPr>
      </w:pPr>
      <w:r w:rsidRPr="00466C08">
        <w:rPr>
          <w:rFonts w:cstheme="minorHAnsi"/>
          <w:iCs/>
          <w:sz w:val="24"/>
          <w:szCs w:val="24"/>
        </w:rPr>
        <w:object w:dxaOrig="9473" w:dyaOrig="4533" w14:anchorId="71183FC4">
          <v:shape id="_x0000_i1037" type="#_x0000_t75" style="width:468.7pt;height:221.05pt" o:ole="">
            <v:imagedata r:id="rId39" o:title=""/>
          </v:shape>
          <o:OLEObject Type="Embed" ProgID="Excel.Sheet.12" ShapeID="_x0000_i1037" DrawAspect="Content" ObjectID="_1778063317" r:id="rId40"/>
        </w:object>
      </w:r>
    </w:p>
    <w:p w14:paraId="3106829B" w14:textId="77777777" w:rsidR="001E470D" w:rsidRDefault="001E470D" w:rsidP="00F72849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bookmarkStart w:id="79" w:name="_MON_1395832353"/>
      <w:bookmarkEnd w:id="79"/>
    </w:p>
    <w:p w14:paraId="3BF325BB" w14:textId="1BE811FB" w:rsidR="00F72849" w:rsidRPr="001E470D" w:rsidRDefault="00F72849" w:rsidP="00F72849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r w:rsidRPr="001E470D">
        <w:rPr>
          <w:rFonts w:asciiTheme="minorHAnsi" w:hAnsiTheme="minorHAnsi" w:cstheme="minorHAnsi"/>
          <w:bCs/>
          <w:sz w:val="24"/>
          <w:szCs w:val="24"/>
        </w:rPr>
        <w:t>Promjene tijekom 202</w:t>
      </w:r>
      <w:r w:rsidR="00E17427" w:rsidRPr="001E470D">
        <w:rPr>
          <w:rFonts w:asciiTheme="minorHAnsi" w:hAnsiTheme="minorHAnsi" w:cstheme="minorHAnsi"/>
          <w:bCs/>
          <w:sz w:val="24"/>
          <w:szCs w:val="24"/>
        </w:rPr>
        <w:t>3</w:t>
      </w:r>
      <w:r w:rsidRPr="001E470D">
        <w:rPr>
          <w:rFonts w:asciiTheme="minorHAnsi" w:hAnsiTheme="minorHAnsi" w:cstheme="minorHAnsi"/>
          <w:bCs/>
          <w:sz w:val="24"/>
          <w:szCs w:val="24"/>
        </w:rPr>
        <w:t>. godine:</w:t>
      </w:r>
    </w:p>
    <w:bookmarkStart w:id="80" w:name="_MON_1775492767"/>
    <w:bookmarkEnd w:id="80"/>
    <w:p w14:paraId="79FB5544" w14:textId="167BC8E7" w:rsidR="00F72849" w:rsidRDefault="001E470D" w:rsidP="00F72849">
      <w:pPr>
        <w:pStyle w:val="BodyText3"/>
        <w:spacing w:before="240"/>
        <w:ind w:right="92"/>
        <w:rPr>
          <w:rFonts w:asciiTheme="minorHAnsi" w:hAnsiTheme="minorHAnsi" w:cstheme="minorHAnsi"/>
          <w:b/>
          <w:bCs/>
          <w:sz w:val="24"/>
          <w:szCs w:val="24"/>
          <w:highlight w:val="cyan"/>
        </w:rPr>
      </w:pPr>
      <w:r w:rsidRPr="001E470D">
        <w:rPr>
          <w:rFonts w:asciiTheme="minorHAnsi" w:hAnsiTheme="minorHAnsi" w:cstheme="minorHAnsi"/>
          <w:b/>
          <w:sz w:val="24"/>
          <w:szCs w:val="24"/>
        </w:rPr>
        <w:object w:dxaOrig="6246" w:dyaOrig="2621" w14:anchorId="6683005B">
          <v:shape id="_x0000_i1038" type="#_x0000_t75" style="width:312.75pt;height:131.15pt" o:ole="">
            <v:imagedata r:id="rId41" o:title=""/>
          </v:shape>
          <o:OLEObject Type="Embed" ProgID="Excel.Sheet.12" ShapeID="_x0000_i1038" DrawAspect="Content" ObjectID="_1778063318" r:id="rId42"/>
        </w:object>
      </w:r>
    </w:p>
    <w:p w14:paraId="3A0305D8" w14:textId="04AB0A72" w:rsidR="00F72849" w:rsidRPr="004F1A6D" w:rsidRDefault="00F72849" w:rsidP="00F72849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r w:rsidRPr="004F1A6D">
        <w:rPr>
          <w:rFonts w:asciiTheme="minorHAnsi" w:hAnsiTheme="minorHAnsi" w:cstheme="minorHAnsi"/>
          <w:b/>
          <w:bCs/>
          <w:sz w:val="24"/>
          <w:szCs w:val="24"/>
        </w:rPr>
        <w:t>/i/</w:t>
      </w:r>
      <w:r w:rsidRPr="004F1A6D">
        <w:rPr>
          <w:rFonts w:asciiTheme="minorHAnsi" w:hAnsiTheme="minorHAnsi" w:cstheme="minorHAnsi"/>
          <w:bCs/>
          <w:sz w:val="24"/>
          <w:szCs w:val="24"/>
        </w:rPr>
        <w:tab/>
        <w:t>Prijenos s odgođenih prihoda na prihode obavlja se u visini amortizacije za dugotrajnu materijalnu imovinu nabavljenu iz namjenskih sredstava ili dobivenu bez naknade. Tijekom 202</w:t>
      </w:r>
      <w:r w:rsidR="00C60FB8" w:rsidRPr="004F1A6D">
        <w:rPr>
          <w:rFonts w:asciiTheme="minorHAnsi" w:hAnsiTheme="minorHAnsi" w:cstheme="minorHAnsi"/>
          <w:bCs/>
          <w:sz w:val="24"/>
          <w:szCs w:val="24"/>
        </w:rPr>
        <w:t>3</w:t>
      </w:r>
      <w:r w:rsidRPr="004F1A6D">
        <w:rPr>
          <w:rFonts w:asciiTheme="minorHAnsi" w:hAnsiTheme="minorHAnsi" w:cstheme="minorHAnsi"/>
          <w:bCs/>
          <w:sz w:val="24"/>
          <w:szCs w:val="24"/>
        </w:rPr>
        <w:t xml:space="preserve">. godine Društvo je oprihodovalo iznos od </w:t>
      </w:r>
      <w:r w:rsidR="004F1A6D" w:rsidRPr="004F1A6D">
        <w:rPr>
          <w:rFonts w:asciiTheme="minorHAnsi" w:hAnsiTheme="minorHAnsi" w:cstheme="minorHAnsi"/>
          <w:bCs/>
          <w:sz w:val="24"/>
          <w:szCs w:val="24"/>
        </w:rPr>
        <w:t>229.996,94</w:t>
      </w:r>
      <w:r w:rsidR="00C60FB8" w:rsidRPr="004F1A6D">
        <w:rPr>
          <w:rFonts w:asciiTheme="minorHAnsi" w:hAnsiTheme="minorHAnsi" w:cstheme="minorHAnsi"/>
          <w:bCs/>
          <w:sz w:val="24"/>
          <w:szCs w:val="24"/>
        </w:rPr>
        <w:t xml:space="preserve"> eur</w:t>
      </w:r>
      <w:r w:rsidRPr="004F1A6D">
        <w:rPr>
          <w:rFonts w:asciiTheme="minorHAnsi" w:hAnsiTheme="minorHAnsi" w:cstheme="minorHAnsi"/>
          <w:bCs/>
          <w:sz w:val="24"/>
          <w:szCs w:val="24"/>
        </w:rPr>
        <w:t xml:space="preserve"> (202</w:t>
      </w:r>
      <w:r w:rsidR="00C60FB8" w:rsidRPr="004F1A6D">
        <w:rPr>
          <w:rFonts w:asciiTheme="minorHAnsi" w:hAnsiTheme="minorHAnsi" w:cstheme="minorHAnsi"/>
          <w:bCs/>
          <w:sz w:val="24"/>
          <w:szCs w:val="24"/>
        </w:rPr>
        <w:t>2</w:t>
      </w:r>
      <w:r w:rsidRPr="004F1A6D">
        <w:rPr>
          <w:rFonts w:asciiTheme="minorHAnsi" w:hAnsiTheme="minorHAnsi" w:cstheme="minorHAnsi"/>
          <w:bCs/>
          <w:sz w:val="24"/>
          <w:szCs w:val="24"/>
        </w:rPr>
        <w:t xml:space="preserve">.: </w:t>
      </w:r>
      <w:r w:rsidR="004F1A6D" w:rsidRPr="004F1A6D">
        <w:rPr>
          <w:rFonts w:asciiTheme="minorHAnsi" w:hAnsiTheme="minorHAnsi" w:cstheme="minorHAnsi"/>
          <w:bCs/>
          <w:sz w:val="24"/>
          <w:szCs w:val="24"/>
        </w:rPr>
        <w:t>259.663,12</w:t>
      </w:r>
      <w:r w:rsidR="00C60FB8" w:rsidRPr="004F1A6D">
        <w:rPr>
          <w:rFonts w:asciiTheme="minorHAnsi" w:hAnsiTheme="minorHAnsi" w:cstheme="minorHAnsi"/>
          <w:bCs/>
          <w:sz w:val="24"/>
          <w:szCs w:val="24"/>
        </w:rPr>
        <w:t xml:space="preserve"> eur</w:t>
      </w:r>
      <w:r w:rsidRPr="004F1A6D">
        <w:rPr>
          <w:rFonts w:asciiTheme="minorHAnsi" w:hAnsiTheme="minorHAnsi" w:cstheme="minorHAnsi"/>
          <w:bCs/>
          <w:sz w:val="24"/>
          <w:szCs w:val="24"/>
        </w:rPr>
        <w:t xml:space="preserve">) na ime obračunate amortizacije. </w:t>
      </w:r>
    </w:p>
    <w:p w14:paraId="304B0B60" w14:textId="77777777" w:rsidR="00F72849" w:rsidRPr="004F1A6D" w:rsidRDefault="00F72849" w:rsidP="00F72849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</w:p>
    <w:p w14:paraId="4A003844" w14:textId="77777777" w:rsidR="00F72849" w:rsidRPr="004F1A6D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4F1A6D">
        <w:rPr>
          <w:rFonts w:cstheme="minorHAnsi"/>
          <w:b/>
          <w:bCs/>
          <w:iCs/>
          <w:sz w:val="24"/>
          <w:szCs w:val="24"/>
        </w:rPr>
        <w:t>IZVANBILANČNI ZAPISI</w:t>
      </w:r>
    </w:p>
    <w:p w14:paraId="057B731B" w14:textId="385FF1BA" w:rsidR="00F72849" w:rsidRPr="004F1A6D" w:rsidRDefault="00F72849" w:rsidP="00F72849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4F1A6D">
        <w:rPr>
          <w:rFonts w:cstheme="minorHAnsi"/>
          <w:sz w:val="24"/>
          <w:szCs w:val="24"/>
        </w:rPr>
        <w:t xml:space="preserve">Izvanbilančni zapisi iznose </w:t>
      </w:r>
      <w:r w:rsidR="00F50462" w:rsidRPr="004F1A6D">
        <w:rPr>
          <w:rFonts w:cstheme="minorHAnsi"/>
          <w:sz w:val="24"/>
          <w:szCs w:val="24"/>
        </w:rPr>
        <w:t>3.247.957,55 eur</w:t>
      </w:r>
      <w:r w:rsidRPr="004F1A6D">
        <w:rPr>
          <w:rFonts w:cstheme="minorHAnsi"/>
          <w:sz w:val="24"/>
          <w:szCs w:val="24"/>
        </w:rPr>
        <w:t xml:space="preserve"> (202</w:t>
      </w:r>
      <w:r w:rsidR="00F50462" w:rsidRPr="004F1A6D">
        <w:rPr>
          <w:rFonts w:cstheme="minorHAnsi"/>
          <w:sz w:val="24"/>
          <w:szCs w:val="24"/>
        </w:rPr>
        <w:t>2</w:t>
      </w:r>
      <w:r w:rsidRPr="004F1A6D">
        <w:rPr>
          <w:rFonts w:cstheme="minorHAnsi"/>
          <w:sz w:val="24"/>
          <w:szCs w:val="24"/>
        </w:rPr>
        <w:t xml:space="preserve">.: </w:t>
      </w:r>
      <w:r w:rsidR="00F50462" w:rsidRPr="004F1A6D">
        <w:rPr>
          <w:rFonts w:cstheme="minorHAnsi"/>
          <w:sz w:val="24"/>
          <w:szCs w:val="24"/>
        </w:rPr>
        <w:t>3.911.113,88 eur</w:t>
      </w:r>
      <w:r w:rsidRPr="004F1A6D">
        <w:rPr>
          <w:rFonts w:cstheme="minorHAnsi"/>
          <w:sz w:val="24"/>
          <w:szCs w:val="24"/>
        </w:rPr>
        <w:t xml:space="preserve">). Odnose se na: primljene bankarske garancije od dobavljača za izvršenje ugovora u iznosu od </w:t>
      </w:r>
      <w:r w:rsidR="005E3B95" w:rsidRPr="004F1A6D">
        <w:rPr>
          <w:rFonts w:cstheme="minorHAnsi"/>
          <w:sz w:val="24"/>
          <w:szCs w:val="24"/>
        </w:rPr>
        <w:t>51.052,29 eur</w:t>
      </w:r>
      <w:r w:rsidRPr="004F1A6D">
        <w:rPr>
          <w:rFonts w:cstheme="minorHAnsi"/>
          <w:sz w:val="24"/>
          <w:szCs w:val="24"/>
        </w:rPr>
        <w:t xml:space="preserve"> (202</w:t>
      </w:r>
      <w:r w:rsidR="005E3B95" w:rsidRPr="004F1A6D">
        <w:rPr>
          <w:rFonts w:cstheme="minorHAnsi"/>
          <w:sz w:val="24"/>
          <w:szCs w:val="24"/>
        </w:rPr>
        <w:t>2</w:t>
      </w:r>
      <w:r w:rsidRPr="004F1A6D">
        <w:rPr>
          <w:rFonts w:cstheme="minorHAnsi"/>
          <w:sz w:val="24"/>
          <w:szCs w:val="24"/>
        </w:rPr>
        <w:t xml:space="preserve">.: </w:t>
      </w:r>
      <w:r w:rsidR="005E3B95" w:rsidRPr="004F1A6D">
        <w:rPr>
          <w:rFonts w:cstheme="minorHAnsi"/>
          <w:sz w:val="24"/>
          <w:szCs w:val="24"/>
        </w:rPr>
        <w:t>35.014,36 eur</w:t>
      </w:r>
      <w:r w:rsidRPr="004F1A6D">
        <w:rPr>
          <w:rFonts w:cstheme="minorHAnsi"/>
          <w:sz w:val="24"/>
          <w:szCs w:val="24"/>
        </w:rPr>
        <w:t xml:space="preserve">), za jamstveni rok izvršenih ugovora u iznosu od </w:t>
      </w:r>
      <w:r w:rsidR="005E3B95" w:rsidRPr="004F1A6D">
        <w:rPr>
          <w:rFonts w:cstheme="minorHAnsi"/>
          <w:sz w:val="24"/>
          <w:szCs w:val="24"/>
        </w:rPr>
        <w:t>55.970,24 eur</w:t>
      </w:r>
      <w:r w:rsidRPr="004F1A6D">
        <w:rPr>
          <w:rFonts w:cstheme="minorHAnsi"/>
          <w:sz w:val="24"/>
          <w:szCs w:val="24"/>
        </w:rPr>
        <w:t xml:space="preserve"> (202</w:t>
      </w:r>
      <w:r w:rsidR="005E3B95" w:rsidRPr="004F1A6D">
        <w:rPr>
          <w:rFonts w:cstheme="minorHAnsi"/>
          <w:sz w:val="24"/>
          <w:szCs w:val="24"/>
        </w:rPr>
        <w:t>2</w:t>
      </w:r>
      <w:r w:rsidRPr="004F1A6D">
        <w:rPr>
          <w:rFonts w:cstheme="minorHAnsi"/>
          <w:sz w:val="24"/>
          <w:szCs w:val="24"/>
        </w:rPr>
        <w:t xml:space="preserve">.: </w:t>
      </w:r>
      <w:r w:rsidR="005E3B95" w:rsidRPr="004F1A6D">
        <w:rPr>
          <w:rFonts w:cstheme="minorHAnsi"/>
          <w:sz w:val="24"/>
          <w:szCs w:val="24"/>
        </w:rPr>
        <w:t>46.619,2</w:t>
      </w:r>
      <w:r w:rsidR="004F1A6D" w:rsidRPr="004F1A6D">
        <w:rPr>
          <w:rFonts w:cstheme="minorHAnsi"/>
          <w:sz w:val="24"/>
          <w:szCs w:val="24"/>
        </w:rPr>
        <w:t>3</w:t>
      </w:r>
      <w:r w:rsidR="005E3B95" w:rsidRPr="004F1A6D">
        <w:rPr>
          <w:rFonts w:cstheme="minorHAnsi"/>
          <w:sz w:val="24"/>
          <w:szCs w:val="24"/>
        </w:rPr>
        <w:t xml:space="preserve"> eur</w:t>
      </w:r>
      <w:r w:rsidRPr="004F1A6D">
        <w:rPr>
          <w:rFonts w:cstheme="minorHAnsi"/>
          <w:sz w:val="24"/>
          <w:szCs w:val="24"/>
        </w:rPr>
        <w:t xml:space="preserve">) te primljene zadužnice od dobavljača u iznosu od </w:t>
      </w:r>
      <w:r w:rsidR="005E3B95" w:rsidRPr="004F1A6D">
        <w:rPr>
          <w:rFonts w:cstheme="minorHAnsi"/>
          <w:sz w:val="24"/>
          <w:szCs w:val="24"/>
        </w:rPr>
        <w:t>9.343,83 eur</w:t>
      </w:r>
      <w:r w:rsidR="004F1A6D" w:rsidRPr="004F1A6D">
        <w:rPr>
          <w:rFonts w:cstheme="minorHAnsi"/>
          <w:sz w:val="24"/>
          <w:szCs w:val="24"/>
        </w:rPr>
        <w:t xml:space="preserve"> </w:t>
      </w:r>
      <w:r w:rsidRPr="004F1A6D">
        <w:rPr>
          <w:rFonts w:cstheme="minorHAnsi"/>
          <w:sz w:val="24"/>
          <w:szCs w:val="24"/>
        </w:rPr>
        <w:t>(202</w:t>
      </w:r>
      <w:r w:rsidR="004F1A6D" w:rsidRPr="004F1A6D">
        <w:rPr>
          <w:rFonts w:cstheme="minorHAnsi"/>
          <w:sz w:val="24"/>
          <w:szCs w:val="24"/>
        </w:rPr>
        <w:t>2</w:t>
      </w:r>
      <w:r w:rsidRPr="004F1A6D">
        <w:rPr>
          <w:rFonts w:cstheme="minorHAnsi"/>
          <w:sz w:val="24"/>
          <w:szCs w:val="24"/>
        </w:rPr>
        <w:t xml:space="preserve">.: </w:t>
      </w:r>
      <w:r w:rsidR="005E3B95" w:rsidRPr="004F1A6D">
        <w:rPr>
          <w:rFonts w:cstheme="minorHAnsi"/>
          <w:sz w:val="24"/>
          <w:szCs w:val="24"/>
        </w:rPr>
        <w:t>109.354,40</w:t>
      </w:r>
      <w:r w:rsidR="004F1A6D" w:rsidRPr="004F1A6D">
        <w:rPr>
          <w:rFonts w:cstheme="minorHAnsi"/>
          <w:sz w:val="24"/>
          <w:szCs w:val="24"/>
        </w:rPr>
        <w:t xml:space="preserve"> </w:t>
      </w:r>
      <w:r w:rsidR="005E3B95" w:rsidRPr="004F1A6D">
        <w:rPr>
          <w:rFonts w:cstheme="minorHAnsi"/>
          <w:sz w:val="24"/>
          <w:szCs w:val="24"/>
        </w:rPr>
        <w:t>eur</w:t>
      </w:r>
      <w:r w:rsidRPr="004F1A6D">
        <w:rPr>
          <w:rFonts w:cstheme="minorHAnsi"/>
          <w:sz w:val="24"/>
          <w:szCs w:val="24"/>
        </w:rPr>
        <w:t xml:space="preserve">). Dane zadužnice iskazane su u iznosu od </w:t>
      </w:r>
      <w:r w:rsidR="005E3B95" w:rsidRPr="004F1A6D">
        <w:rPr>
          <w:rFonts w:cstheme="minorHAnsi"/>
          <w:sz w:val="24"/>
          <w:szCs w:val="24"/>
        </w:rPr>
        <w:t>2.620.112,13 eur</w:t>
      </w:r>
      <w:r w:rsidRPr="004F1A6D">
        <w:rPr>
          <w:rFonts w:cstheme="minorHAnsi"/>
          <w:sz w:val="24"/>
          <w:szCs w:val="24"/>
        </w:rPr>
        <w:t xml:space="preserve"> (202</w:t>
      </w:r>
      <w:r w:rsidR="005E3B95" w:rsidRPr="004F1A6D">
        <w:rPr>
          <w:rFonts w:cstheme="minorHAnsi"/>
          <w:sz w:val="24"/>
          <w:szCs w:val="24"/>
        </w:rPr>
        <w:t>2</w:t>
      </w:r>
      <w:r w:rsidRPr="004F1A6D">
        <w:rPr>
          <w:rFonts w:cstheme="minorHAnsi"/>
          <w:sz w:val="24"/>
          <w:szCs w:val="24"/>
        </w:rPr>
        <w:t xml:space="preserve">.: </w:t>
      </w:r>
      <w:r w:rsidR="005E3B95" w:rsidRPr="004F1A6D">
        <w:rPr>
          <w:rFonts w:cstheme="minorHAnsi"/>
          <w:sz w:val="24"/>
          <w:szCs w:val="24"/>
        </w:rPr>
        <w:t>3.208.646,82 eur</w:t>
      </w:r>
      <w:r w:rsidRPr="004F1A6D">
        <w:rPr>
          <w:rFonts w:cstheme="minorHAnsi"/>
          <w:sz w:val="24"/>
          <w:szCs w:val="24"/>
        </w:rPr>
        <w:t xml:space="preserve">), a najznačajnije su dane za osiguranje povrata dugoročnih </w:t>
      </w:r>
      <w:r w:rsidR="004F1A6D" w:rsidRPr="004F1A6D">
        <w:rPr>
          <w:rFonts w:cstheme="minorHAnsi"/>
          <w:sz w:val="24"/>
          <w:szCs w:val="24"/>
        </w:rPr>
        <w:t xml:space="preserve">kredita </w:t>
      </w:r>
      <w:r w:rsidRPr="004F1A6D">
        <w:rPr>
          <w:rFonts w:cstheme="minorHAnsi"/>
          <w:sz w:val="24"/>
          <w:szCs w:val="24"/>
        </w:rPr>
        <w:t xml:space="preserve">u ukupnom iznosu od </w:t>
      </w:r>
      <w:r w:rsidR="004F1A6D" w:rsidRPr="004F1A6D">
        <w:rPr>
          <w:rFonts w:cstheme="minorHAnsi"/>
          <w:sz w:val="24"/>
          <w:szCs w:val="24"/>
        </w:rPr>
        <w:t>1.673.289,26 eur</w:t>
      </w:r>
      <w:r w:rsidRPr="004F1A6D">
        <w:rPr>
          <w:rFonts w:cstheme="minorHAnsi"/>
          <w:sz w:val="24"/>
          <w:szCs w:val="24"/>
        </w:rPr>
        <w:t xml:space="preserve"> te za podmirenje obveza po ugovorima o financijskom leasingu (sklopljenih u razdoblju 201</w:t>
      </w:r>
      <w:r w:rsidR="004F1A6D" w:rsidRPr="004F1A6D">
        <w:rPr>
          <w:rFonts w:cstheme="minorHAnsi"/>
          <w:sz w:val="24"/>
          <w:szCs w:val="24"/>
        </w:rPr>
        <w:t>9</w:t>
      </w:r>
      <w:r w:rsidRPr="004F1A6D">
        <w:rPr>
          <w:rFonts w:cstheme="minorHAnsi"/>
          <w:sz w:val="24"/>
          <w:szCs w:val="24"/>
        </w:rPr>
        <w:t>. do 20</w:t>
      </w:r>
      <w:r w:rsidR="004F1A6D" w:rsidRPr="004F1A6D">
        <w:rPr>
          <w:rFonts w:cstheme="minorHAnsi"/>
          <w:sz w:val="24"/>
          <w:szCs w:val="24"/>
        </w:rPr>
        <w:t>23</w:t>
      </w:r>
      <w:r w:rsidRPr="004F1A6D">
        <w:rPr>
          <w:rFonts w:cstheme="minorHAnsi"/>
          <w:sz w:val="24"/>
          <w:szCs w:val="24"/>
        </w:rPr>
        <w:t xml:space="preserve">. godine) u ukupnom iznosu od </w:t>
      </w:r>
      <w:r w:rsidR="004F1A6D" w:rsidRPr="004F1A6D">
        <w:rPr>
          <w:rFonts w:cstheme="minorHAnsi"/>
          <w:sz w:val="24"/>
          <w:szCs w:val="24"/>
        </w:rPr>
        <w:t>798.836,96 eur</w:t>
      </w:r>
      <w:r w:rsidRPr="004F1A6D">
        <w:rPr>
          <w:rFonts w:cstheme="minorHAnsi"/>
          <w:sz w:val="24"/>
          <w:szCs w:val="24"/>
        </w:rPr>
        <w:t xml:space="preserve">. Dane bankarske garancije iskazane su u iznosu od </w:t>
      </w:r>
      <w:r w:rsidR="004269EA" w:rsidRPr="004F1A6D">
        <w:rPr>
          <w:rFonts w:cstheme="minorHAnsi"/>
          <w:sz w:val="24"/>
          <w:szCs w:val="24"/>
        </w:rPr>
        <w:t>511.479,06 eur</w:t>
      </w:r>
      <w:r w:rsidRPr="004F1A6D">
        <w:rPr>
          <w:rFonts w:cstheme="minorHAnsi"/>
          <w:sz w:val="24"/>
          <w:szCs w:val="24"/>
        </w:rPr>
        <w:t xml:space="preserve">, a odnose se na dvije garancije za gospodarenje otpadom za obavljanje djelatnosti. </w:t>
      </w:r>
    </w:p>
    <w:p w14:paraId="2AF3F4D9" w14:textId="77777777" w:rsidR="00F72849" w:rsidRPr="000D1B28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bookmarkStart w:id="81" w:name="_Hlk164880143"/>
      <w:r w:rsidRPr="000D1B28">
        <w:rPr>
          <w:rFonts w:cstheme="minorHAnsi"/>
          <w:b/>
          <w:bCs/>
          <w:iCs/>
          <w:sz w:val="24"/>
          <w:szCs w:val="24"/>
        </w:rPr>
        <w:lastRenderedPageBreak/>
        <w:t xml:space="preserve">POTENCIJALNE OBVEZE </w:t>
      </w:r>
    </w:p>
    <w:p w14:paraId="6C04FD46" w14:textId="77777777" w:rsidR="00F72849" w:rsidRPr="000D1B28" w:rsidRDefault="00F72849" w:rsidP="00F72849">
      <w:pPr>
        <w:spacing w:before="240" w:after="0" w:line="240" w:lineRule="auto"/>
        <w:ind w:right="92"/>
        <w:jc w:val="both"/>
        <w:rPr>
          <w:rFonts w:eastAsia="Times New Roman" w:cstheme="minorHAnsi"/>
          <w:b/>
          <w:sz w:val="24"/>
          <w:szCs w:val="24"/>
        </w:rPr>
      </w:pPr>
      <w:bookmarkStart w:id="82" w:name="_Hlk38566809"/>
      <w:r w:rsidRPr="000D1B28">
        <w:rPr>
          <w:rFonts w:eastAsia="Times New Roman" w:cstheme="minorHAnsi"/>
          <w:b/>
          <w:sz w:val="24"/>
          <w:szCs w:val="24"/>
        </w:rPr>
        <w:t xml:space="preserve">/i/ Sudski sporovi </w:t>
      </w:r>
    </w:p>
    <w:p w14:paraId="16755B78" w14:textId="77777777" w:rsidR="00F72849" w:rsidRPr="000D1B28" w:rsidRDefault="00F72849" w:rsidP="00F72849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r w:rsidRPr="000D1B28">
        <w:rPr>
          <w:rFonts w:asciiTheme="minorHAnsi" w:hAnsiTheme="minorHAnsi" w:cstheme="minorHAnsi"/>
          <w:bCs/>
          <w:sz w:val="24"/>
          <w:szCs w:val="24"/>
        </w:rPr>
        <w:t>Supruga pokojnog radnika Društva</w:t>
      </w:r>
      <w:r w:rsidRPr="000D1B28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Pr="000D1B28">
        <w:rPr>
          <w:rFonts w:asciiTheme="minorHAnsi" w:hAnsiTheme="minorHAnsi" w:cstheme="minorHAnsi"/>
          <w:bCs/>
          <w:sz w:val="24"/>
          <w:szCs w:val="24"/>
        </w:rPr>
        <w:t>podnijela je 03. prosinca 2019. godine tužbu pod poslovnim brojem Pn-206/19 radi isplate imovinske i neimovinske štete nastale nakon nesretnog događaja smrti radnika na radnom mjestu.</w:t>
      </w:r>
    </w:p>
    <w:p w14:paraId="2F42D9F2" w14:textId="694F75F5" w:rsidR="00F72849" w:rsidRPr="000D1B28" w:rsidRDefault="00F72849" w:rsidP="00F72849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r w:rsidRPr="000D1B28">
        <w:rPr>
          <w:rFonts w:asciiTheme="minorHAnsi" w:hAnsiTheme="minorHAnsi" w:cstheme="minorHAnsi"/>
          <w:bCs/>
          <w:sz w:val="24"/>
          <w:szCs w:val="24"/>
        </w:rPr>
        <w:t xml:space="preserve">Predmetnom tužbom članovi uže obitelji traže naknadu štete u iznosu od </w:t>
      </w:r>
      <w:r w:rsidR="000D1B28">
        <w:rPr>
          <w:rFonts w:asciiTheme="minorHAnsi" w:hAnsiTheme="minorHAnsi" w:cstheme="minorHAnsi"/>
          <w:bCs/>
          <w:sz w:val="24"/>
          <w:szCs w:val="24"/>
        </w:rPr>
        <w:t>109.073,20 eur</w:t>
      </w:r>
      <w:r w:rsidRPr="000D1B28">
        <w:rPr>
          <w:rFonts w:asciiTheme="minorHAnsi" w:hAnsiTheme="minorHAnsi" w:cstheme="minorHAnsi"/>
          <w:bCs/>
          <w:sz w:val="24"/>
          <w:szCs w:val="24"/>
        </w:rPr>
        <w:t xml:space="preserve"> zbog događaja sa smrtnom posljedicom radnika na radnom mjestu.</w:t>
      </w:r>
    </w:p>
    <w:p w14:paraId="32AFDA1A" w14:textId="77777777" w:rsidR="00F72849" w:rsidRPr="000D1B28" w:rsidRDefault="00F72849" w:rsidP="00F72849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0D1B28">
        <w:rPr>
          <w:rFonts w:cstheme="minorHAnsi"/>
          <w:bCs/>
          <w:sz w:val="24"/>
          <w:szCs w:val="24"/>
        </w:rPr>
        <w:t>Društvo je odgovorilo na tužbu osporavanjem osnove i visine tužbenog zahtjeva te smatra da je poduzelo sve zakonske mjere osposobljavanja radnika za rad na siguran način. Dana 24. veljače 2020. održano je pripremno ročište.</w:t>
      </w:r>
      <w:r w:rsidRPr="000D1B28">
        <w:rPr>
          <w:rFonts w:cstheme="minorHAnsi"/>
          <w:sz w:val="24"/>
          <w:szCs w:val="24"/>
        </w:rPr>
        <w:t xml:space="preserve"> Ročišta za glavnu raspravu održana su 28.06.2021., 22.11.2021. i 04.04.2023. godine. Na posljednjem ročištu saslušane su 1. i 2.-tužiteljice (supruga i kćer pokojnog radnika) te su tužitelji pozvani da urede tužbeni zahtjev s obzirom na istaknuti prigovor promašene pasivne legitimacije (tuženo je PONIKVE d.o.o.) kao i s obzirom na promjenu službene valute u RH.</w:t>
      </w:r>
    </w:p>
    <w:p w14:paraId="1F4EF256" w14:textId="007FF78D" w:rsidR="00F72849" w:rsidRPr="000D1B28" w:rsidRDefault="00F72849" w:rsidP="00F72849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r w:rsidRPr="000D1B28">
        <w:rPr>
          <w:rFonts w:asciiTheme="minorHAnsi" w:hAnsiTheme="minorHAnsi" w:cstheme="minorHAnsi"/>
          <w:bCs/>
          <w:sz w:val="24"/>
          <w:szCs w:val="24"/>
        </w:rPr>
        <w:t>Postupak je i dalje u tijeku sa neizvjesnim ishodom pa se stoga događaj samo objavljuje.</w:t>
      </w:r>
    </w:p>
    <w:p w14:paraId="32B38D62" w14:textId="77777777" w:rsidR="00F72849" w:rsidRPr="000D1B28" w:rsidRDefault="00F72849" w:rsidP="00F72849">
      <w:pPr>
        <w:pStyle w:val="BodyText3"/>
        <w:spacing w:before="240"/>
        <w:ind w:right="92"/>
        <w:rPr>
          <w:rFonts w:asciiTheme="minorHAnsi" w:hAnsiTheme="minorHAnsi" w:cstheme="minorHAnsi"/>
          <w:bCs/>
          <w:sz w:val="24"/>
          <w:szCs w:val="24"/>
        </w:rPr>
      </w:pPr>
      <w:r w:rsidRPr="000D1B28">
        <w:rPr>
          <w:rFonts w:asciiTheme="minorHAnsi" w:hAnsiTheme="minorHAnsi" w:cstheme="minorHAnsi"/>
          <w:bCs/>
          <w:sz w:val="24"/>
          <w:szCs w:val="24"/>
        </w:rPr>
        <w:t xml:space="preserve">Protiv Društva se ne vode drugi značajniji sudski postupci. </w:t>
      </w:r>
    </w:p>
    <w:bookmarkEnd w:id="81"/>
    <w:p w14:paraId="2D43AEA9" w14:textId="77777777" w:rsidR="00F72849" w:rsidRPr="003B0EC3" w:rsidRDefault="00F72849" w:rsidP="00F72849">
      <w:pPr>
        <w:spacing w:before="240" w:after="0" w:line="240" w:lineRule="auto"/>
        <w:ind w:right="92"/>
        <w:jc w:val="both"/>
        <w:rPr>
          <w:rFonts w:eastAsia="Times New Roman" w:cstheme="minorHAnsi"/>
          <w:b/>
          <w:sz w:val="24"/>
          <w:szCs w:val="24"/>
          <w:highlight w:val="cyan"/>
        </w:rPr>
      </w:pPr>
    </w:p>
    <w:bookmarkEnd w:id="82"/>
    <w:p w14:paraId="18905CDE" w14:textId="77777777" w:rsidR="00F72849" w:rsidRPr="005E434A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5E434A">
        <w:rPr>
          <w:rFonts w:cstheme="minorHAnsi"/>
          <w:b/>
          <w:bCs/>
          <w:iCs/>
          <w:sz w:val="24"/>
          <w:szCs w:val="24"/>
        </w:rPr>
        <w:t>UPRAVLJANJE RIZICIMA</w:t>
      </w:r>
    </w:p>
    <w:p w14:paraId="75477175" w14:textId="77777777" w:rsidR="00F72849" w:rsidRPr="005E434A" w:rsidRDefault="00F72849" w:rsidP="00F72849">
      <w:pPr>
        <w:spacing w:before="240" w:after="0" w:line="240" w:lineRule="auto"/>
        <w:ind w:right="-367"/>
        <w:jc w:val="both"/>
        <w:rPr>
          <w:rFonts w:cstheme="minorHAnsi"/>
          <w:b/>
          <w:bCs/>
          <w:iCs/>
          <w:sz w:val="24"/>
          <w:szCs w:val="24"/>
        </w:rPr>
      </w:pPr>
      <w:bookmarkStart w:id="83" w:name="_Hlk99106446"/>
      <w:bookmarkStart w:id="84" w:name="_Hlk39145641"/>
      <w:r w:rsidRPr="005E434A">
        <w:rPr>
          <w:rFonts w:cstheme="minorHAnsi"/>
          <w:b/>
          <w:bCs/>
          <w:iCs/>
          <w:sz w:val="24"/>
          <w:szCs w:val="24"/>
        </w:rPr>
        <w:t>VALUTNI RIZIK</w:t>
      </w:r>
    </w:p>
    <w:p w14:paraId="20A36A8A" w14:textId="01738A71" w:rsidR="00F72849" w:rsidRPr="005E434A" w:rsidRDefault="00F72849" w:rsidP="004F1A6D">
      <w:pPr>
        <w:spacing w:before="240" w:after="0" w:line="240" w:lineRule="auto"/>
        <w:ind w:right="22"/>
        <w:jc w:val="both"/>
        <w:rPr>
          <w:rFonts w:eastAsia="Times New Roman" w:cstheme="minorHAnsi"/>
          <w:iCs/>
          <w:sz w:val="24"/>
          <w:szCs w:val="24"/>
        </w:rPr>
      </w:pPr>
      <w:r w:rsidRPr="005E434A">
        <w:rPr>
          <w:rFonts w:cstheme="minorHAnsi"/>
          <w:iCs/>
          <w:sz w:val="24"/>
          <w:szCs w:val="24"/>
        </w:rPr>
        <w:t xml:space="preserve">Valutni rizik je rizik da će se vrijednosti financijskih instrumenata promijeniti uslijed promjene tečaja. Društvo </w:t>
      </w:r>
      <w:r w:rsidR="004F1A6D" w:rsidRPr="005E434A">
        <w:rPr>
          <w:rFonts w:cstheme="minorHAnsi"/>
          <w:iCs/>
          <w:sz w:val="24"/>
          <w:szCs w:val="24"/>
        </w:rPr>
        <w:t>nije</w:t>
      </w:r>
      <w:r w:rsidRPr="005E434A">
        <w:rPr>
          <w:rFonts w:cstheme="minorHAnsi"/>
          <w:iCs/>
          <w:sz w:val="24"/>
          <w:szCs w:val="24"/>
        </w:rPr>
        <w:t xml:space="preserve"> izloženo </w:t>
      </w:r>
      <w:r w:rsidR="004F1A6D" w:rsidRPr="005E434A">
        <w:rPr>
          <w:rFonts w:cstheme="minorHAnsi"/>
          <w:iCs/>
          <w:sz w:val="24"/>
          <w:szCs w:val="24"/>
        </w:rPr>
        <w:t>ovom riziku</w:t>
      </w:r>
      <w:r w:rsidRPr="005E434A">
        <w:rPr>
          <w:rFonts w:cstheme="minorHAnsi"/>
          <w:iCs/>
          <w:sz w:val="24"/>
          <w:szCs w:val="24"/>
        </w:rPr>
        <w:t xml:space="preserve"> jer </w:t>
      </w:r>
      <w:r w:rsidR="004F1A6D" w:rsidRPr="005E434A">
        <w:rPr>
          <w:rFonts w:cstheme="minorHAnsi"/>
          <w:iCs/>
          <w:sz w:val="24"/>
          <w:szCs w:val="24"/>
        </w:rPr>
        <w:t>nema ugovorenih obveza u stranoj valuti.</w:t>
      </w:r>
    </w:p>
    <w:p w14:paraId="383AF452" w14:textId="77777777" w:rsidR="00F72849" w:rsidRPr="005E434A" w:rsidRDefault="00F72849" w:rsidP="00F72849">
      <w:pPr>
        <w:spacing w:before="240" w:after="0" w:line="240" w:lineRule="auto"/>
        <w:ind w:right="22"/>
        <w:jc w:val="both"/>
        <w:rPr>
          <w:rFonts w:cstheme="minorHAnsi"/>
          <w:b/>
          <w:bCs/>
          <w:iCs/>
          <w:sz w:val="24"/>
          <w:szCs w:val="24"/>
        </w:rPr>
      </w:pPr>
      <w:r w:rsidRPr="005E434A">
        <w:rPr>
          <w:rFonts w:cstheme="minorHAnsi"/>
          <w:b/>
          <w:bCs/>
          <w:iCs/>
          <w:sz w:val="24"/>
          <w:szCs w:val="24"/>
        </w:rPr>
        <w:t>KAMATNI RIZIK</w:t>
      </w:r>
    </w:p>
    <w:p w14:paraId="48BBAC81" w14:textId="77777777" w:rsidR="00F72849" w:rsidRPr="005E434A" w:rsidRDefault="00F72849" w:rsidP="00F72849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5E434A">
        <w:rPr>
          <w:rFonts w:cstheme="minorHAnsi"/>
          <w:iCs/>
          <w:sz w:val="24"/>
          <w:szCs w:val="24"/>
        </w:rPr>
        <w:t>Kamatni rizik je rizik da će se vrijednosti financijskih instrumenata promijeniti uslijed promjene tržišnih kamatnih stopa u odnosu na kamatne stope primjenjive na financijske instrumente.</w:t>
      </w:r>
    </w:p>
    <w:p w14:paraId="62D5ABF9" w14:textId="77777777" w:rsidR="00F72849" w:rsidRPr="005E434A" w:rsidRDefault="00F72849" w:rsidP="00F72849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5E434A">
        <w:rPr>
          <w:rFonts w:cstheme="minorHAnsi"/>
          <w:iCs/>
          <w:sz w:val="24"/>
          <w:szCs w:val="24"/>
        </w:rPr>
        <w:t xml:space="preserve">Društvo nema dugoročnih obveza uz promjenjivu kamatnu stopu, te kao posljedicu toga nema izloženost riziku promjene kamatne stope. </w:t>
      </w:r>
    </w:p>
    <w:p w14:paraId="3A336ADD" w14:textId="77777777" w:rsidR="00F72849" w:rsidRPr="005E434A" w:rsidRDefault="00F72849" w:rsidP="00F72849">
      <w:pPr>
        <w:spacing w:before="240" w:after="0" w:line="240" w:lineRule="auto"/>
        <w:ind w:right="22"/>
        <w:jc w:val="both"/>
        <w:rPr>
          <w:rFonts w:cstheme="minorHAnsi"/>
          <w:b/>
          <w:bCs/>
          <w:iCs/>
          <w:sz w:val="24"/>
          <w:szCs w:val="24"/>
        </w:rPr>
      </w:pPr>
      <w:r w:rsidRPr="005E434A">
        <w:rPr>
          <w:rFonts w:cstheme="minorHAnsi"/>
          <w:b/>
          <w:bCs/>
          <w:iCs/>
          <w:sz w:val="24"/>
          <w:szCs w:val="24"/>
        </w:rPr>
        <w:t>KREDITNI RIZIK</w:t>
      </w:r>
    </w:p>
    <w:p w14:paraId="2504B5F1" w14:textId="77777777" w:rsidR="005E434A" w:rsidRPr="005E434A" w:rsidRDefault="00F72849" w:rsidP="00F72849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5E434A">
        <w:rPr>
          <w:rFonts w:cstheme="minorHAnsi"/>
          <w:iCs/>
          <w:sz w:val="24"/>
          <w:szCs w:val="24"/>
        </w:rPr>
        <w:t>Kreditni rizik je rizik da jedna strana u financijskom instrumentu neće ispuniti svoje obveze te da će time prouzročiti nastanak financijskog gubitka drugoj strani. Financijska imovina koja potencijalno može izložiti Društvo kreditnom riziku obuhvaća novac i potraživanja od kupaca. Potraživanja od kupaca iskazana su umanjena za rezerviranja za utužena sumnjiva i sporna potraživanja. Nema dodatnog kreditnog rizika za podmirenje kratkoročnih obveza Društva koji bi utjecao na povećanje vrijednosti rezerviranja za umanjenje vrijednosti kupaca i ostalih potraživanja.</w:t>
      </w:r>
    </w:p>
    <w:p w14:paraId="61978057" w14:textId="1D605BDD" w:rsidR="00F72849" w:rsidRPr="006F7C9A" w:rsidRDefault="00F94A86" w:rsidP="00F72849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  <w:highlight w:val="lightGray"/>
        </w:rPr>
      </w:pPr>
      <w:r w:rsidRPr="00CF6B1F">
        <w:rPr>
          <w:rFonts w:cstheme="minorHAnsi"/>
          <w:iCs/>
          <w:sz w:val="24"/>
          <w:szCs w:val="24"/>
        </w:rPr>
        <w:lastRenderedPageBreak/>
        <w:t>Društvo je izloženo riziku otplate kredita</w:t>
      </w:r>
      <w:r w:rsidRPr="00CF6B1F">
        <w:t xml:space="preserve"> </w:t>
      </w:r>
      <w:r w:rsidRPr="00CF6B1F">
        <w:rPr>
          <w:rFonts w:cstheme="minorHAnsi"/>
          <w:iCs/>
          <w:sz w:val="24"/>
          <w:szCs w:val="24"/>
        </w:rPr>
        <w:t xml:space="preserve">korištenog u izgradnji EKI mreže kojeg je preuzelo društvo Smart island Krk d.o.o. </w:t>
      </w:r>
      <w:r w:rsidR="00CF6B1F" w:rsidRPr="00CF6B1F">
        <w:rPr>
          <w:rFonts w:cstheme="minorHAnsi"/>
          <w:iCs/>
          <w:sz w:val="24"/>
          <w:szCs w:val="24"/>
        </w:rPr>
        <w:t>temeljem Ugovora o podjeli sa preuzimanjem društva kapitala (odvajanje s preuzimanjem)</w:t>
      </w:r>
      <w:r w:rsidR="00CF6B1F">
        <w:rPr>
          <w:rFonts w:cstheme="minorHAnsi"/>
          <w:iCs/>
          <w:sz w:val="24"/>
          <w:szCs w:val="24"/>
        </w:rPr>
        <w:t xml:space="preserve"> u 2022. godini  (Bilješka 6).</w:t>
      </w:r>
    </w:p>
    <w:p w14:paraId="0C238491" w14:textId="77777777" w:rsidR="00F72849" w:rsidRPr="005E434A" w:rsidRDefault="00F72849" w:rsidP="00F72849">
      <w:pPr>
        <w:spacing w:before="240" w:after="0" w:line="240" w:lineRule="auto"/>
        <w:ind w:right="22"/>
        <w:jc w:val="both"/>
        <w:rPr>
          <w:rFonts w:cstheme="minorHAnsi"/>
          <w:b/>
          <w:bCs/>
          <w:iCs/>
          <w:sz w:val="24"/>
          <w:szCs w:val="24"/>
        </w:rPr>
      </w:pPr>
      <w:r w:rsidRPr="005E434A">
        <w:rPr>
          <w:rFonts w:cstheme="minorHAnsi"/>
          <w:b/>
          <w:bCs/>
          <w:iCs/>
          <w:sz w:val="24"/>
          <w:szCs w:val="24"/>
        </w:rPr>
        <w:t>RIZIK LIKVIDNOSTI</w:t>
      </w:r>
    </w:p>
    <w:p w14:paraId="49A164EC" w14:textId="55388DF5" w:rsidR="00F72849" w:rsidRPr="005E434A" w:rsidRDefault="00F72849" w:rsidP="00F72849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5E434A">
        <w:rPr>
          <w:rFonts w:cstheme="minorHAnsi"/>
          <w:iCs/>
          <w:sz w:val="24"/>
          <w:szCs w:val="24"/>
        </w:rPr>
        <w:t>Rizik likvidnosti, koji se također naziva rizikom financiranja, je rizik suočavanja Društva s teškoćama u pribavljanju sredstava za podmirenje obveza po financijskim instrumentima. Kratkoročne obveze Društva koje dospijevaju u 202</w:t>
      </w:r>
      <w:r w:rsidR="006F7C9A" w:rsidRPr="005E434A">
        <w:rPr>
          <w:rFonts w:cstheme="minorHAnsi"/>
          <w:iCs/>
          <w:sz w:val="24"/>
          <w:szCs w:val="24"/>
        </w:rPr>
        <w:t>3</w:t>
      </w:r>
      <w:r w:rsidRPr="005E434A">
        <w:rPr>
          <w:rFonts w:cstheme="minorHAnsi"/>
          <w:iCs/>
          <w:sz w:val="24"/>
          <w:szCs w:val="24"/>
        </w:rPr>
        <w:t xml:space="preserve">. godini pokrivene su kratkotrajnom imovinom. </w:t>
      </w:r>
    </w:p>
    <w:p w14:paraId="4FA99F0E" w14:textId="23C0EA45" w:rsidR="00F72849" w:rsidRPr="005E434A" w:rsidRDefault="00F72849" w:rsidP="00F72849">
      <w:pPr>
        <w:spacing w:before="240" w:after="0" w:line="240" w:lineRule="auto"/>
        <w:ind w:right="22"/>
        <w:jc w:val="both"/>
        <w:rPr>
          <w:rFonts w:cstheme="minorHAnsi"/>
          <w:iCs/>
          <w:sz w:val="24"/>
          <w:szCs w:val="24"/>
        </w:rPr>
      </w:pPr>
      <w:r w:rsidRPr="005E434A">
        <w:rPr>
          <w:rFonts w:cstheme="minorHAnsi"/>
          <w:iCs/>
          <w:sz w:val="24"/>
          <w:szCs w:val="24"/>
        </w:rPr>
        <w:t>Upravljanje ovim rizikom dijelom se svodi na usklađenje priljeva sredstava od strane jedinica lokalne samouprave po ugovorima o sufinanciranju investicija</w:t>
      </w:r>
      <w:r w:rsidR="00F94A86">
        <w:rPr>
          <w:rFonts w:cstheme="minorHAnsi"/>
          <w:iCs/>
          <w:sz w:val="24"/>
          <w:szCs w:val="24"/>
        </w:rPr>
        <w:t xml:space="preserve"> i priljeva od strane društva Smart island Krk d.o.o. za otplatu kredita korištenog u izgradnji EKI mreže</w:t>
      </w:r>
      <w:r w:rsidRPr="005E434A">
        <w:rPr>
          <w:rFonts w:cstheme="minorHAnsi"/>
          <w:iCs/>
          <w:sz w:val="24"/>
          <w:szCs w:val="24"/>
        </w:rPr>
        <w:t>.</w:t>
      </w:r>
    </w:p>
    <w:p w14:paraId="0F2F35DE" w14:textId="77777777" w:rsidR="00F72849" w:rsidRPr="005E434A" w:rsidRDefault="00F72849" w:rsidP="00F72849">
      <w:pPr>
        <w:tabs>
          <w:tab w:val="left" w:pos="-180"/>
        </w:tabs>
        <w:spacing w:before="240" w:after="0" w:line="240" w:lineRule="auto"/>
        <w:ind w:right="-17"/>
        <w:jc w:val="both"/>
        <w:rPr>
          <w:rFonts w:cstheme="minorHAnsi"/>
          <w:b/>
          <w:bCs/>
          <w:iCs/>
          <w:caps/>
          <w:sz w:val="24"/>
          <w:szCs w:val="24"/>
        </w:rPr>
      </w:pPr>
      <w:r w:rsidRPr="005E434A">
        <w:rPr>
          <w:rFonts w:cstheme="minorHAnsi"/>
          <w:b/>
          <w:bCs/>
          <w:iCs/>
          <w:caps/>
          <w:sz w:val="24"/>
          <w:szCs w:val="24"/>
        </w:rPr>
        <w:t>Procjena fer vrijednosti</w:t>
      </w:r>
    </w:p>
    <w:p w14:paraId="21324231" w14:textId="77777777" w:rsidR="00F72849" w:rsidRPr="005E434A" w:rsidRDefault="00F72849" w:rsidP="00F72849">
      <w:pPr>
        <w:tabs>
          <w:tab w:val="left" w:pos="-180"/>
        </w:tabs>
        <w:spacing w:before="240" w:after="0" w:line="240" w:lineRule="auto"/>
        <w:ind w:right="-17"/>
        <w:jc w:val="both"/>
        <w:rPr>
          <w:rFonts w:cstheme="minorHAnsi"/>
          <w:iCs/>
          <w:sz w:val="24"/>
          <w:szCs w:val="24"/>
        </w:rPr>
      </w:pPr>
      <w:r w:rsidRPr="005E434A">
        <w:rPr>
          <w:rFonts w:cstheme="minorHAnsi"/>
          <w:iCs/>
          <w:sz w:val="24"/>
          <w:szCs w:val="24"/>
        </w:rPr>
        <w:t>Glavni financijski instrumenti Društva koji se ne vode po tržišnoj vrijednosti su novac i novčani ekvivalenti, potraživanja od kupaca, ostala potraživanja, dugoročna financijska imovina, obveze prema dobavljačima i ostale obveze, te dugoročni krediti.</w:t>
      </w:r>
    </w:p>
    <w:p w14:paraId="165B61D6" w14:textId="77777777" w:rsidR="000D1B28" w:rsidRDefault="00F72849" w:rsidP="00F72849">
      <w:pPr>
        <w:pStyle w:val="BodyText21"/>
        <w:tabs>
          <w:tab w:val="left" w:pos="-180"/>
        </w:tabs>
        <w:spacing w:before="240"/>
        <w:ind w:right="-17"/>
        <w:rPr>
          <w:rFonts w:asciiTheme="minorHAnsi" w:hAnsiTheme="minorHAnsi" w:cstheme="minorHAnsi"/>
          <w:i w:val="0"/>
          <w:sz w:val="24"/>
          <w:szCs w:val="24"/>
          <w:lang w:val="hr-HR"/>
        </w:rPr>
      </w:pPr>
      <w:r w:rsidRPr="005E434A">
        <w:rPr>
          <w:rFonts w:asciiTheme="minorHAnsi" w:hAnsiTheme="minorHAnsi" w:cstheme="minorHAnsi"/>
          <w:i w:val="0"/>
          <w:sz w:val="24"/>
          <w:szCs w:val="24"/>
          <w:lang w:val="hr-HR"/>
        </w:rPr>
        <w:t>Iskazana knjigovodstvena vrijednost novca i novčanih ekvivalenata približna je njihovoj fer vrijednosti zbog kratkoročnog dospijeća ovih financijskih instrumenata.</w:t>
      </w:r>
    </w:p>
    <w:p w14:paraId="202222A7" w14:textId="798C4C63" w:rsidR="00F72849" w:rsidRPr="005E434A" w:rsidRDefault="00F72849" w:rsidP="00F72849">
      <w:pPr>
        <w:pStyle w:val="BodyText21"/>
        <w:tabs>
          <w:tab w:val="left" w:pos="-180"/>
        </w:tabs>
        <w:spacing w:before="240"/>
        <w:ind w:right="-17"/>
        <w:rPr>
          <w:rFonts w:asciiTheme="minorHAnsi" w:hAnsiTheme="minorHAnsi" w:cstheme="minorHAnsi"/>
          <w:i w:val="0"/>
          <w:sz w:val="24"/>
          <w:szCs w:val="24"/>
          <w:lang w:val="hr-HR"/>
        </w:rPr>
      </w:pPr>
      <w:r w:rsidRPr="005E434A">
        <w:rPr>
          <w:rFonts w:asciiTheme="minorHAnsi" w:hAnsiTheme="minorHAnsi" w:cstheme="minorHAnsi"/>
          <w:i w:val="0"/>
          <w:sz w:val="24"/>
          <w:szCs w:val="24"/>
          <w:lang w:val="hr-HR"/>
        </w:rPr>
        <w:t xml:space="preserve"> </w:t>
      </w:r>
    </w:p>
    <w:p w14:paraId="26E3F750" w14:textId="77777777" w:rsidR="00F72849" w:rsidRPr="008548C2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8548C2">
        <w:rPr>
          <w:rFonts w:cstheme="minorHAnsi"/>
          <w:b/>
          <w:bCs/>
          <w:iCs/>
          <w:sz w:val="24"/>
          <w:szCs w:val="24"/>
        </w:rPr>
        <w:t>DOGAĐAJI OD UTJECAJA NA BUDUĆE POSLOVANJE</w:t>
      </w:r>
    </w:p>
    <w:p w14:paraId="3D1878BA" w14:textId="02633435" w:rsidR="00F72849" w:rsidRPr="008548C2" w:rsidRDefault="000D1B28" w:rsidP="00F72849">
      <w:pPr>
        <w:pStyle w:val="gmail-m4491034583220394703msonospacing"/>
        <w:spacing w:before="240" w:beforeAutospacing="0" w:after="0" w:afterAutospacing="0"/>
        <w:jc w:val="both"/>
        <w:rPr>
          <w:rFonts w:cstheme="minorHAnsi"/>
          <w:sz w:val="24"/>
          <w:szCs w:val="24"/>
        </w:rPr>
      </w:pPr>
      <w:r w:rsidRPr="008548C2">
        <w:rPr>
          <w:rFonts w:cstheme="minorHAnsi"/>
          <w:sz w:val="24"/>
          <w:szCs w:val="24"/>
        </w:rPr>
        <w:t>Ostaju</w:t>
      </w:r>
      <w:r w:rsidR="00F72849" w:rsidRPr="008548C2">
        <w:rPr>
          <w:rFonts w:cstheme="minorHAnsi"/>
          <w:sz w:val="24"/>
          <w:szCs w:val="24"/>
        </w:rPr>
        <w:t xml:space="preserve"> stalni operativni rizici poslovanja Društva, a Društvo </w:t>
      </w:r>
      <w:r w:rsidR="00CF6B1F" w:rsidRPr="008548C2">
        <w:rPr>
          <w:rFonts w:cstheme="minorHAnsi"/>
          <w:sz w:val="24"/>
          <w:szCs w:val="24"/>
        </w:rPr>
        <w:t>nastavlja</w:t>
      </w:r>
      <w:r w:rsidR="00F72849" w:rsidRPr="008548C2">
        <w:rPr>
          <w:rFonts w:cstheme="minorHAnsi"/>
          <w:sz w:val="24"/>
          <w:szCs w:val="24"/>
        </w:rPr>
        <w:t xml:space="preserve"> poduzima</w:t>
      </w:r>
      <w:r w:rsidR="00CF6B1F" w:rsidRPr="008548C2">
        <w:rPr>
          <w:rFonts w:cstheme="minorHAnsi"/>
          <w:sz w:val="24"/>
          <w:szCs w:val="24"/>
        </w:rPr>
        <w:t>ti</w:t>
      </w:r>
      <w:r w:rsidR="00F72849" w:rsidRPr="008548C2">
        <w:rPr>
          <w:rFonts w:cstheme="minorHAnsi"/>
          <w:sz w:val="24"/>
          <w:szCs w:val="24"/>
        </w:rPr>
        <w:t xml:space="preserve"> sve aktivnosti oko prevladavanja tih rizika (kontrola rashoda te utroška vlastitih sredstava u financiranju ulaganja u nova osnovna sredstva radi zaštite likvidnosti Društva).</w:t>
      </w:r>
    </w:p>
    <w:p w14:paraId="60BD4514" w14:textId="041448A3" w:rsidR="000D1B28" w:rsidRPr="008548C2" w:rsidRDefault="000D1B28" w:rsidP="00F72849">
      <w:pPr>
        <w:pStyle w:val="gmail-m4491034583220394703msonospacing"/>
        <w:spacing w:before="240" w:beforeAutospacing="0" w:after="0" w:afterAutospacing="0"/>
        <w:jc w:val="both"/>
        <w:rPr>
          <w:rFonts w:cstheme="minorHAnsi"/>
          <w:sz w:val="24"/>
          <w:szCs w:val="24"/>
        </w:rPr>
      </w:pPr>
      <w:r w:rsidRPr="008548C2">
        <w:rPr>
          <w:rFonts w:cstheme="minorHAnsi"/>
          <w:sz w:val="24"/>
          <w:szCs w:val="24"/>
        </w:rPr>
        <w:t>Na buduće poslovanje društva može utjecati smanjenje prihoda gospodarstvenika koji ovise o turizmu ukoliko Rusko-ukrajinski rat te rat na Bliskom istoku značajnije eskaliraju.</w:t>
      </w:r>
    </w:p>
    <w:p w14:paraId="14D2DED4" w14:textId="77777777" w:rsidR="00F72849" w:rsidRPr="008548C2" w:rsidRDefault="00F72849" w:rsidP="00F72849">
      <w:pPr>
        <w:pStyle w:val="gmail-m4491034583220394703msonospacing"/>
        <w:spacing w:before="240" w:beforeAutospacing="0" w:after="0" w:afterAutospacing="0"/>
        <w:jc w:val="both"/>
        <w:rPr>
          <w:rFonts w:cstheme="minorHAnsi"/>
          <w:sz w:val="24"/>
          <w:szCs w:val="24"/>
        </w:rPr>
      </w:pPr>
    </w:p>
    <w:p w14:paraId="78BB2AC7" w14:textId="77777777" w:rsidR="00F72849" w:rsidRPr="00E17E0B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E17E0B">
        <w:rPr>
          <w:rFonts w:cstheme="minorHAnsi"/>
          <w:b/>
          <w:bCs/>
          <w:iCs/>
          <w:sz w:val="24"/>
          <w:szCs w:val="24"/>
        </w:rPr>
        <w:t>IZNOS NAKNADE ČLANOVIMA UPRAVNIH I NADZORNIH TIJELA</w:t>
      </w:r>
    </w:p>
    <w:p w14:paraId="3F65043C" w14:textId="77777777" w:rsidR="00F72849" w:rsidRPr="00E17E0B" w:rsidRDefault="00F72849" w:rsidP="00F72849">
      <w:pPr>
        <w:pStyle w:val="ListParagraph"/>
        <w:spacing w:after="0" w:line="240" w:lineRule="auto"/>
        <w:ind w:left="851" w:right="92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</w:p>
    <w:p w14:paraId="21605A06" w14:textId="77777777" w:rsidR="00F72849" w:rsidRPr="00E17E0B" w:rsidRDefault="00F72849" w:rsidP="00F72849">
      <w:pPr>
        <w:tabs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spacing w:val="-2"/>
          <w:sz w:val="24"/>
          <w:szCs w:val="24"/>
        </w:rPr>
      </w:pPr>
      <w:r w:rsidRPr="00E17E0B">
        <w:rPr>
          <w:spacing w:val="-2"/>
          <w:sz w:val="24"/>
          <w:szCs w:val="24"/>
        </w:rPr>
        <w:t xml:space="preserve">Društvo nema ustanovljen Nadzorni odbor te ima samo Upravu koja se sastoji od jednog člana, Direktora. Direktor Društva je, sukladno odlukama skupštine, zaposlen u društvu PONIKVE VODA d.o.o. gdje prima plaću, dok u društvima Ponikve usluga d.o.o., Ponikve eko otok Krk d.o.o. i Smart island Krk d.o.o. ima mandat direktora, no bez zasnovanog radnog odnosa i bez prava na isplatu plaće i naknade. </w:t>
      </w:r>
    </w:p>
    <w:p w14:paraId="086A650F" w14:textId="77777777" w:rsidR="00F72849" w:rsidRPr="003B0EC3" w:rsidRDefault="00F72849" w:rsidP="00F72849">
      <w:pPr>
        <w:tabs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7"/>
        <w:jc w:val="both"/>
        <w:textAlignment w:val="baseline"/>
        <w:rPr>
          <w:spacing w:val="-2"/>
          <w:sz w:val="24"/>
          <w:szCs w:val="24"/>
          <w:highlight w:val="cyan"/>
        </w:rPr>
      </w:pPr>
    </w:p>
    <w:bookmarkEnd w:id="83"/>
    <w:p w14:paraId="2CBB34B7" w14:textId="77777777" w:rsidR="00F72849" w:rsidRPr="00E17E0B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E17E0B">
        <w:rPr>
          <w:rFonts w:cstheme="minorHAnsi"/>
          <w:b/>
          <w:bCs/>
          <w:iCs/>
          <w:sz w:val="24"/>
          <w:szCs w:val="24"/>
        </w:rPr>
        <w:t xml:space="preserve">DOGAĐAJI NAKON DATUMA BILANCE </w:t>
      </w:r>
    </w:p>
    <w:p w14:paraId="24E22A9F" w14:textId="77777777" w:rsidR="00F72849" w:rsidRPr="00E17E0B" w:rsidRDefault="00F72849" w:rsidP="00F72849">
      <w:pPr>
        <w:spacing w:before="240" w:after="160" w:line="240" w:lineRule="auto"/>
        <w:jc w:val="both"/>
        <w:rPr>
          <w:spacing w:val="-2"/>
          <w:sz w:val="24"/>
          <w:szCs w:val="24"/>
        </w:rPr>
      </w:pPr>
      <w:r w:rsidRPr="00E17E0B">
        <w:rPr>
          <w:spacing w:val="-2"/>
          <w:sz w:val="24"/>
          <w:szCs w:val="24"/>
        </w:rPr>
        <w:t>Nakon datuma bilance, a do datuma sastavljanja ovih financijskih izvještaja nisu se dogodili značajni događaji koji bi zahtijevali usklađivanje financijskih izvještaja ili objavu.</w:t>
      </w:r>
    </w:p>
    <w:p w14:paraId="763CCFE8" w14:textId="09737F5F" w:rsidR="00E17E0B" w:rsidRPr="00E17E0B" w:rsidRDefault="00E17E0B" w:rsidP="00E17E0B">
      <w:pPr>
        <w:spacing w:before="240" w:after="0" w:line="240" w:lineRule="auto"/>
        <w:ind w:right="92"/>
        <w:jc w:val="both"/>
        <w:rPr>
          <w:spacing w:val="-2"/>
          <w:sz w:val="24"/>
          <w:szCs w:val="24"/>
        </w:rPr>
      </w:pPr>
      <w:bookmarkStart w:id="85" w:name="_Hlk164934751"/>
      <w:bookmarkEnd w:id="84"/>
      <w:r>
        <w:rPr>
          <w:spacing w:val="-2"/>
          <w:sz w:val="24"/>
          <w:szCs w:val="24"/>
        </w:rPr>
        <w:lastRenderedPageBreak/>
        <w:t>O</w:t>
      </w:r>
      <w:r w:rsidRPr="00E17E0B">
        <w:rPr>
          <w:spacing w:val="-2"/>
          <w:sz w:val="24"/>
          <w:szCs w:val="24"/>
        </w:rPr>
        <w:t>dluk</w:t>
      </w:r>
      <w:r>
        <w:rPr>
          <w:spacing w:val="-2"/>
          <w:sz w:val="24"/>
          <w:szCs w:val="24"/>
        </w:rPr>
        <w:t>om skupštine Društva</w:t>
      </w:r>
      <w:r w:rsidRPr="00E17E0B">
        <w:rPr>
          <w:spacing w:val="-2"/>
          <w:sz w:val="24"/>
          <w:szCs w:val="24"/>
        </w:rPr>
        <w:t xml:space="preserve"> od 21.</w:t>
      </w:r>
      <w:r>
        <w:rPr>
          <w:spacing w:val="-2"/>
          <w:sz w:val="24"/>
          <w:szCs w:val="24"/>
        </w:rPr>
        <w:t>12.</w:t>
      </w:r>
      <w:r w:rsidRPr="00E17E0B">
        <w:rPr>
          <w:spacing w:val="-2"/>
          <w:sz w:val="24"/>
          <w:szCs w:val="24"/>
        </w:rPr>
        <w:t>2023.,</w:t>
      </w:r>
      <w:r>
        <w:rPr>
          <w:spacing w:val="-2"/>
          <w:sz w:val="24"/>
          <w:szCs w:val="24"/>
        </w:rPr>
        <w:t xml:space="preserve"> Društvo ima novog</w:t>
      </w:r>
      <w:r w:rsidRPr="00E17E0B">
        <w:rPr>
          <w:spacing w:val="-2"/>
          <w:sz w:val="24"/>
          <w:szCs w:val="24"/>
        </w:rPr>
        <w:t xml:space="preserve"> član</w:t>
      </w:r>
      <w:r>
        <w:rPr>
          <w:spacing w:val="-2"/>
          <w:sz w:val="24"/>
          <w:szCs w:val="24"/>
        </w:rPr>
        <w:t>a</w:t>
      </w:r>
      <w:r w:rsidRPr="00E17E0B">
        <w:rPr>
          <w:spacing w:val="-2"/>
          <w:sz w:val="24"/>
          <w:szCs w:val="24"/>
        </w:rPr>
        <w:t xml:space="preserve"> uprave</w:t>
      </w:r>
      <w:r>
        <w:rPr>
          <w:spacing w:val="-2"/>
          <w:sz w:val="24"/>
          <w:szCs w:val="24"/>
        </w:rPr>
        <w:t xml:space="preserve"> koji </w:t>
      </w:r>
      <w:r w:rsidRPr="00E17E0B">
        <w:rPr>
          <w:spacing w:val="-2"/>
          <w:sz w:val="24"/>
          <w:szCs w:val="24"/>
        </w:rPr>
        <w:t>zastupa samostalno i pojedinačno</w:t>
      </w:r>
      <w:r>
        <w:rPr>
          <w:spacing w:val="-2"/>
          <w:sz w:val="24"/>
          <w:szCs w:val="24"/>
        </w:rPr>
        <w:t xml:space="preserve"> </w:t>
      </w:r>
      <w:r w:rsidRPr="00E17E0B">
        <w:rPr>
          <w:spacing w:val="-2"/>
          <w:sz w:val="24"/>
          <w:szCs w:val="24"/>
        </w:rPr>
        <w:t xml:space="preserve">s početkom mandata od </w:t>
      </w:r>
      <w:r>
        <w:rPr>
          <w:spacing w:val="-2"/>
          <w:sz w:val="24"/>
          <w:szCs w:val="24"/>
        </w:rPr>
        <w:t>0</w:t>
      </w:r>
      <w:r w:rsidRPr="00E17E0B">
        <w:rPr>
          <w:spacing w:val="-2"/>
          <w:sz w:val="24"/>
          <w:szCs w:val="24"/>
        </w:rPr>
        <w:t>1.</w:t>
      </w:r>
      <w:r>
        <w:rPr>
          <w:spacing w:val="-2"/>
          <w:sz w:val="24"/>
          <w:szCs w:val="24"/>
        </w:rPr>
        <w:t>01.</w:t>
      </w:r>
      <w:r w:rsidRPr="00E17E0B">
        <w:rPr>
          <w:spacing w:val="-2"/>
          <w:sz w:val="24"/>
          <w:szCs w:val="24"/>
        </w:rPr>
        <w:t>2024.</w:t>
      </w:r>
      <w:r>
        <w:t xml:space="preserve"> godine. </w:t>
      </w:r>
      <w:r w:rsidRPr="00E17E0B">
        <w:rPr>
          <w:sz w:val="24"/>
          <w:szCs w:val="24"/>
        </w:rPr>
        <w:t>Direktorom društva za razdoblje od 01.01.202</w:t>
      </w:r>
      <w:r>
        <w:rPr>
          <w:sz w:val="24"/>
          <w:szCs w:val="24"/>
        </w:rPr>
        <w:t>4</w:t>
      </w:r>
      <w:r w:rsidRPr="00E17E0B">
        <w:rPr>
          <w:sz w:val="24"/>
          <w:szCs w:val="24"/>
        </w:rPr>
        <w:t>. do 31.12.202</w:t>
      </w:r>
      <w:r>
        <w:rPr>
          <w:sz w:val="24"/>
          <w:szCs w:val="24"/>
        </w:rPr>
        <w:t>7</w:t>
      </w:r>
      <w:r w:rsidRPr="00E17E0B">
        <w:rPr>
          <w:sz w:val="24"/>
          <w:szCs w:val="24"/>
        </w:rPr>
        <w:t>. godine imenovan je Ivan Jurešić</w:t>
      </w:r>
      <w:r>
        <w:rPr>
          <w:sz w:val="24"/>
          <w:szCs w:val="24"/>
        </w:rPr>
        <w:t>, univ.spec.oec..</w:t>
      </w:r>
    </w:p>
    <w:bookmarkEnd w:id="85"/>
    <w:p w14:paraId="066F6004" w14:textId="77777777" w:rsidR="00F72849" w:rsidRDefault="00F72849" w:rsidP="00F72849">
      <w:pPr>
        <w:pStyle w:val="ListParagraph"/>
        <w:spacing w:after="0" w:line="240" w:lineRule="auto"/>
        <w:ind w:left="851" w:right="92"/>
        <w:jc w:val="both"/>
        <w:rPr>
          <w:rFonts w:eastAsia="Times New Roman" w:cstheme="minorHAnsi"/>
          <w:b/>
          <w:bCs/>
          <w:iCs/>
          <w:sz w:val="24"/>
          <w:szCs w:val="24"/>
        </w:rPr>
      </w:pPr>
    </w:p>
    <w:p w14:paraId="5918809D" w14:textId="77777777" w:rsidR="00E17E0B" w:rsidRPr="005E434A" w:rsidRDefault="00E17E0B" w:rsidP="00F72849">
      <w:pPr>
        <w:pStyle w:val="ListParagraph"/>
        <w:spacing w:after="0" w:line="240" w:lineRule="auto"/>
        <w:ind w:left="851" w:right="92"/>
        <w:jc w:val="both"/>
        <w:rPr>
          <w:rFonts w:eastAsia="Times New Roman" w:cstheme="minorHAnsi"/>
          <w:b/>
          <w:bCs/>
          <w:iCs/>
          <w:sz w:val="24"/>
          <w:szCs w:val="24"/>
        </w:rPr>
      </w:pPr>
    </w:p>
    <w:p w14:paraId="79C3371E" w14:textId="77777777" w:rsidR="00F72849" w:rsidRPr="005E434A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5E434A">
        <w:rPr>
          <w:rFonts w:cstheme="minorHAnsi"/>
          <w:b/>
          <w:bCs/>
          <w:iCs/>
          <w:sz w:val="24"/>
          <w:szCs w:val="24"/>
        </w:rPr>
        <w:t>INFORMACIJE O TRANSAKCIJAMA SA POVEZANIM STRANAMA</w:t>
      </w:r>
    </w:p>
    <w:p w14:paraId="5126668B" w14:textId="77777777" w:rsidR="00F72849" w:rsidRPr="005E434A" w:rsidRDefault="00F72849" w:rsidP="00F72849">
      <w:pPr>
        <w:spacing w:after="0" w:line="240" w:lineRule="auto"/>
        <w:ind w:right="92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</w:p>
    <w:p w14:paraId="4938CB05" w14:textId="7278863B" w:rsidR="00F72849" w:rsidRPr="005E434A" w:rsidRDefault="00F72849" w:rsidP="00F72849">
      <w:pPr>
        <w:spacing w:after="0" w:line="240" w:lineRule="auto"/>
        <w:ind w:right="92"/>
        <w:jc w:val="both"/>
        <w:rPr>
          <w:spacing w:val="-2"/>
          <w:sz w:val="24"/>
          <w:szCs w:val="24"/>
        </w:rPr>
      </w:pPr>
      <w:r w:rsidRPr="005E434A">
        <w:rPr>
          <w:spacing w:val="-2"/>
          <w:sz w:val="24"/>
          <w:szCs w:val="24"/>
        </w:rPr>
        <w:t xml:space="preserve">Kao povezane strane Društva se pojavljuju </w:t>
      </w:r>
      <w:r w:rsidR="008A5C13">
        <w:rPr>
          <w:spacing w:val="-2"/>
          <w:sz w:val="24"/>
          <w:szCs w:val="24"/>
        </w:rPr>
        <w:t xml:space="preserve">se </w:t>
      </w:r>
      <w:r w:rsidRPr="005E434A">
        <w:rPr>
          <w:spacing w:val="-2"/>
          <w:sz w:val="24"/>
          <w:szCs w:val="24"/>
        </w:rPr>
        <w:t>svi osnivači kao članovi društva te izravno ili preko osnivača povezan</w:t>
      </w:r>
      <w:r w:rsidR="008A5C13">
        <w:rPr>
          <w:spacing w:val="-2"/>
          <w:sz w:val="24"/>
          <w:szCs w:val="24"/>
        </w:rPr>
        <w:t>ih</w:t>
      </w:r>
      <w:r w:rsidRPr="005E434A">
        <w:rPr>
          <w:spacing w:val="-2"/>
          <w:sz w:val="24"/>
          <w:szCs w:val="24"/>
        </w:rPr>
        <w:t xml:space="preserve"> društva. Međutim Društvo sa svim povezanim stranama posluje prema važećem cjeniku sa aspekta odnosa prema kupcima, dok sa aspekta odnosa sa dobavljačima posluje temeljem odredbi Zakona o javnoj nabavi pa su sve transakcij</w:t>
      </w:r>
      <w:r w:rsidR="005E434A" w:rsidRPr="005E434A">
        <w:rPr>
          <w:spacing w:val="-2"/>
          <w:sz w:val="24"/>
          <w:szCs w:val="24"/>
        </w:rPr>
        <w:t>e</w:t>
      </w:r>
      <w:r w:rsidRPr="005E434A">
        <w:rPr>
          <w:spacing w:val="-2"/>
          <w:sz w:val="24"/>
          <w:szCs w:val="24"/>
        </w:rPr>
        <w:t xml:space="preserve"> sa svim povezanim stranama temeljene na tržišnim uvjetima odnosno cijenama sukladno stvarnim potrebama učesnika u transakcijama. </w:t>
      </w:r>
    </w:p>
    <w:p w14:paraId="22D16791" w14:textId="77777777" w:rsidR="00F72849" w:rsidRPr="005E434A" w:rsidRDefault="00F72849" w:rsidP="00F72849">
      <w:pPr>
        <w:spacing w:after="0" w:line="240" w:lineRule="auto"/>
        <w:ind w:right="92"/>
        <w:jc w:val="both"/>
        <w:rPr>
          <w:spacing w:val="-2"/>
          <w:sz w:val="24"/>
          <w:szCs w:val="24"/>
        </w:rPr>
      </w:pPr>
    </w:p>
    <w:p w14:paraId="567EFCF7" w14:textId="167A529A" w:rsidR="00F72849" w:rsidRPr="005E434A" w:rsidRDefault="00F72849" w:rsidP="00F72849">
      <w:pPr>
        <w:spacing w:before="240" w:after="0" w:line="240" w:lineRule="auto"/>
        <w:ind w:right="91"/>
        <w:jc w:val="both"/>
        <w:rPr>
          <w:rFonts w:cstheme="minorHAnsi"/>
          <w:bCs/>
          <w:iCs/>
          <w:sz w:val="24"/>
          <w:szCs w:val="24"/>
        </w:rPr>
      </w:pPr>
      <w:r w:rsidRPr="005E434A">
        <w:rPr>
          <w:spacing w:val="-2"/>
          <w:sz w:val="24"/>
          <w:szCs w:val="24"/>
        </w:rPr>
        <w:t xml:space="preserve">Značajnija transakcija je transakcija sa društvom PONIKVE USLUGA d.o.o. koja za društvo obavlja  računovodstveno-financijsko-pravne-administrativne usluge. Odnosi su regulirani ugovorom koji je prošao provjeru poreznih savjetnika. Navedeno društvo obavlja usluge samo povezanim društvima i to, Društvu, društvu </w:t>
      </w:r>
      <w:r w:rsidR="00CB4DD7">
        <w:rPr>
          <w:spacing w:val="-2"/>
          <w:sz w:val="24"/>
          <w:szCs w:val="24"/>
        </w:rPr>
        <w:t>PONIKVE VODA</w:t>
      </w:r>
      <w:r w:rsidRPr="005E434A">
        <w:rPr>
          <w:spacing w:val="-2"/>
          <w:sz w:val="24"/>
          <w:szCs w:val="24"/>
        </w:rPr>
        <w:t xml:space="preserve"> d.o.o. i društvu SMART ISLAND KRK d.o.o. te da je osnovano isključivo u cilju o pružanja usluga ovim društvima na načelu neutralnog financijskog rezultata odnosno načelu pokrića troškova. Kako je navedeno u Bilješci 3.1.1. /v/ troškovi odnosno vrijednost transakcija za društvom PONIKVE USLUGA d.o.o. za 202</w:t>
      </w:r>
      <w:r w:rsidR="00FB7A26" w:rsidRPr="005E434A">
        <w:rPr>
          <w:spacing w:val="-2"/>
          <w:sz w:val="24"/>
          <w:szCs w:val="24"/>
        </w:rPr>
        <w:t>3</w:t>
      </w:r>
      <w:r w:rsidRPr="005E434A">
        <w:rPr>
          <w:spacing w:val="-2"/>
          <w:sz w:val="24"/>
          <w:szCs w:val="24"/>
        </w:rPr>
        <w:t xml:space="preserve">. godinu iznose </w:t>
      </w:r>
      <w:r w:rsidRPr="005E434A">
        <w:rPr>
          <w:rFonts w:cstheme="minorHAnsi"/>
          <w:bCs/>
          <w:iCs/>
          <w:sz w:val="24"/>
          <w:szCs w:val="24"/>
        </w:rPr>
        <w:t xml:space="preserve">od </w:t>
      </w:r>
      <w:r w:rsidR="00FB7A26" w:rsidRPr="005E434A">
        <w:rPr>
          <w:rFonts w:cstheme="minorHAnsi"/>
          <w:bCs/>
          <w:iCs/>
          <w:sz w:val="24"/>
          <w:szCs w:val="24"/>
        </w:rPr>
        <w:t xml:space="preserve">339.901,67 eur </w:t>
      </w:r>
      <w:r w:rsidRPr="005E434A">
        <w:rPr>
          <w:rFonts w:cstheme="minorHAnsi"/>
          <w:bCs/>
          <w:iCs/>
          <w:sz w:val="24"/>
          <w:szCs w:val="24"/>
        </w:rPr>
        <w:t>(202</w:t>
      </w:r>
      <w:r w:rsidR="00FB7A26" w:rsidRPr="005E434A">
        <w:rPr>
          <w:rFonts w:cstheme="minorHAnsi"/>
          <w:bCs/>
          <w:iCs/>
          <w:sz w:val="24"/>
          <w:szCs w:val="24"/>
        </w:rPr>
        <w:t>2</w:t>
      </w:r>
      <w:r w:rsidRPr="005E434A">
        <w:rPr>
          <w:rFonts w:cstheme="minorHAnsi"/>
          <w:bCs/>
          <w:iCs/>
          <w:sz w:val="24"/>
          <w:szCs w:val="24"/>
        </w:rPr>
        <w:t xml:space="preserve">.: </w:t>
      </w:r>
      <w:r w:rsidR="00FB7A26" w:rsidRPr="005E434A">
        <w:rPr>
          <w:rFonts w:cstheme="minorHAnsi"/>
          <w:bCs/>
          <w:iCs/>
          <w:sz w:val="24"/>
          <w:szCs w:val="24"/>
        </w:rPr>
        <w:t>321.210,27 eur</w:t>
      </w:r>
      <w:r w:rsidRPr="005E434A">
        <w:rPr>
          <w:rFonts w:cstheme="minorHAnsi"/>
          <w:bCs/>
          <w:iCs/>
          <w:sz w:val="24"/>
          <w:szCs w:val="24"/>
        </w:rPr>
        <w:t>).</w:t>
      </w:r>
    </w:p>
    <w:p w14:paraId="60BB8105" w14:textId="77777777" w:rsidR="00F72849" w:rsidRPr="008F4382" w:rsidRDefault="00F72849" w:rsidP="00F72849">
      <w:pPr>
        <w:tabs>
          <w:tab w:val="left" w:pos="-180"/>
          <w:tab w:val="left" w:pos="5912"/>
        </w:tabs>
        <w:overflowPunct w:val="0"/>
        <w:autoSpaceDE w:val="0"/>
        <w:autoSpaceDN w:val="0"/>
        <w:adjustRightInd w:val="0"/>
        <w:spacing w:before="240" w:after="0" w:line="240" w:lineRule="auto"/>
        <w:ind w:right="-17"/>
        <w:jc w:val="both"/>
        <w:textAlignment w:val="baseline"/>
        <w:rPr>
          <w:rFonts w:ascii="Calibri" w:eastAsia="Times New Roman" w:hAnsi="Calibri" w:cs="Times New Roman"/>
          <w:iCs/>
          <w:sz w:val="24"/>
          <w:szCs w:val="24"/>
          <w:lang w:eastAsia="hr-HR"/>
        </w:rPr>
      </w:pPr>
      <w:r w:rsidRPr="008F4382">
        <w:rPr>
          <w:rFonts w:ascii="Calibri" w:eastAsia="Times New Roman" w:hAnsi="Calibri" w:cs="Times New Roman"/>
          <w:iCs/>
          <w:sz w:val="24"/>
          <w:szCs w:val="24"/>
          <w:lang w:eastAsia="hr-HR"/>
        </w:rPr>
        <w:tab/>
      </w:r>
    </w:p>
    <w:p w14:paraId="14518F3C" w14:textId="77777777" w:rsidR="00F72849" w:rsidRPr="008F4382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8F4382">
        <w:rPr>
          <w:rFonts w:cstheme="minorHAnsi"/>
          <w:b/>
          <w:bCs/>
          <w:iCs/>
          <w:sz w:val="24"/>
          <w:szCs w:val="24"/>
        </w:rPr>
        <w:t>PREDUJMOVI I KREDITI ODOBRENI ČLANOVIMA ADMINISTRATIVNIH, UPRAVNIH I NADZORNIH TIJELA PODUZETNIKA</w:t>
      </w:r>
    </w:p>
    <w:p w14:paraId="17F0B249" w14:textId="77777777" w:rsidR="00F72849" w:rsidRPr="008F4382" w:rsidRDefault="00F72849" w:rsidP="00F72849">
      <w:pPr>
        <w:pStyle w:val="ListParagraph"/>
        <w:spacing w:after="0" w:line="240" w:lineRule="auto"/>
        <w:ind w:left="851" w:right="92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</w:p>
    <w:p w14:paraId="07F46AEC" w14:textId="77777777" w:rsidR="00F72849" w:rsidRPr="008F4382" w:rsidRDefault="00F72849" w:rsidP="00F72849">
      <w:pPr>
        <w:spacing w:line="240" w:lineRule="auto"/>
        <w:jc w:val="both"/>
        <w:rPr>
          <w:sz w:val="24"/>
          <w:szCs w:val="24"/>
        </w:rPr>
      </w:pPr>
      <w:r w:rsidRPr="008F4382">
        <w:t>Društvo nema odobrenih predujmova i kredita članovima upravnih tijela te nije preuzelo obveze u njihovo ime po osnovi bilo kakvih garancija</w:t>
      </w:r>
      <w:r w:rsidRPr="008F4382">
        <w:rPr>
          <w:sz w:val="24"/>
          <w:szCs w:val="24"/>
        </w:rPr>
        <w:t>.</w:t>
      </w:r>
    </w:p>
    <w:p w14:paraId="46B68F64" w14:textId="77777777" w:rsidR="00F72849" w:rsidRPr="003B0EC3" w:rsidRDefault="00F72849" w:rsidP="00F72849">
      <w:pPr>
        <w:tabs>
          <w:tab w:val="left" w:pos="142"/>
          <w:tab w:val="left" w:pos="8647"/>
        </w:tabs>
        <w:spacing w:before="240" w:after="0" w:line="240" w:lineRule="auto"/>
        <w:textAlignment w:val="baseline"/>
        <w:rPr>
          <w:rFonts w:cstheme="minorHAnsi"/>
          <w:sz w:val="24"/>
          <w:szCs w:val="24"/>
          <w:highlight w:val="cyan"/>
        </w:rPr>
      </w:pPr>
    </w:p>
    <w:p w14:paraId="64A7B6E2" w14:textId="77777777" w:rsidR="00F72849" w:rsidRPr="00F871BA" w:rsidRDefault="00F72849" w:rsidP="00F72849">
      <w:pPr>
        <w:pStyle w:val="ListParagraph"/>
        <w:numPr>
          <w:ilvl w:val="0"/>
          <w:numId w:val="9"/>
        </w:numPr>
        <w:spacing w:before="240" w:after="0" w:line="240" w:lineRule="auto"/>
        <w:ind w:left="502" w:right="92" w:hanging="502"/>
        <w:jc w:val="both"/>
        <w:rPr>
          <w:rFonts w:cstheme="minorHAnsi"/>
          <w:b/>
          <w:bCs/>
          <w:iCs/>
          <w:sz w:val="24"/>
          <w:szCs w:val="24"/>
        </w:rPr>
      </w:pPr>
      <w:r w:rsidRPr="00F871BA">
        <w:rPr>
          <w:rFonts w:cstheme="minorHAnsi"/>
          <w:b/>
          <w:bCs/>
          <w:iCs/>
          <w:sz w:val="24"/>
          <w:szCs w:val="24"/>
        </w:rPr>
        <w:t>ODOBRENJE FINANCIJSKIH IZVJEŠTAJA</w:t>
      </w:r>
    </w:p>
    <w:p w14:paraId="111FE7DA" w14:textId="77777777" w:rsidR="00F72849" w:rsidRPr="00F871BA" w:rsidRDefault="00F72849" w:rsidP="00F72849">
      <w:pPr>
        <w:spacing w:before="240"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14:paraId="100E5151" w14:textId="2D163A92" w:rsidR="00F72849" w:rsidRPr="00F871BA" w:rsidRDefault="00F72849" w:rsidP="00F72849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CB4DD7">
        <w:rPr>
          <w:rFonts w:cstheme="minorHAnsi"/>
          <w:iCs/>
          <w:sz w:val="24"/>
          <w:szCs w:val="24"/>
        </w:rPr>
        <w:t xml:space="preserve">Financijski izvještaji odobreni su dana </w:t>
      </w:r>
      <w:r w:rsidR="000D1B28" w:rsidRPr="00CB4DD7">
        <w:rPr>
          <w:rFonts w:cstheme="minorHAnsi"/>
          <w:iCs/>
          <w:sz w:val="24"/>
          <w:szCs w:val="24"/>
        </w:rPr>
        <w:t>26. travnja</w:t>
      </w:r>
      <w:r w:rsidRPr="00CB4DD7">
        <w:rPr>
          <w:rFonts w:cstheme="minorHAnsi"/>
          <w:iCs/>
          <w:sz w:val="24"/>
          <w:szCs w:val="24"/>
        </w:rPr>
        <w:t xml:space="preserve"> 202</w:t>
      </w:r>
      <w:r w:rsidR="00F871BA" w:rsidRPr="00CB4DD7">
        <w:rPr>
          <w:rFonts w:cstheme="minorHAnsi"/>
          <w:iCs/>
          <w:sz w:val="24"/>
          <w:szCs w:val="24"/>
        </w:rPr>
        <w:t>4</w:t>
      </w:r>
      <w:r w:rsidRPr="00CB4DD7">
        <w:rPr>
          <w:rFonts w:cstheme="minorHAnsi"/>
          <w:iCs/>
          <w:sz w:val="24"/>
          <w:szCs w:val="24"/>
        </w:rPr>
        <w:t>. godine.</w:t>
      </w:r>
    </w:p>
    <w:p w14:paraId="10524FF8" w14:textId="77777777" w:rsidR="00F72849" w:rsidRPr="00F871BA" w:rsidRDefault="00F72849" w:rsidP="00F72849">
      <w:pPr>
        <w:tabs>
          <w:tab w:val="left" w:pos="142"/>
          <w:tab w:val="left" w:pos="8647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40D291C5" w14:textId="77777777" w:rsidR="00F72849" w:rsidRPr="00F871BA" w:rsidRDefault="00F72849" w:rsidP="00F72849">
      <w:pPr>
        <w:tabs>
          <w:tab w:val="left" w:pos="142"/>
          <w:tab w:val="left" w:pos="8647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692F00A4" w14:textId="77777777" w:rsidR="00F72849" w:rsidRPr="00F871BA" w:rsidRDefault="00F72849" w:rsidP="00F72849">
      <w:pPr>
        <w:spacing w:after="0" w:line="240" w:lineRule="auto"/>
        <w:ind w:right="92"/>
        <w:rPr>
          <w:rFonts w:cstheme="minorHAnsi"/>
          <w:iCs/>
          <w:sz w:val="24"/>
          <w:szCs w:val="24"/>
        </w:rPr>
      </w:pP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  <w:t xml:space="preserve"> Uprava Društva:</w:t>
      </w:r>
    </w:p>
    <w:p w14:paraId="4B3877C2" w14:textId="77777777" w:rsidR="00F72849" w:rsidRPr="00F871BA" w:rsidRDefault="00F72849" w:rsidP="00F72849">
      <w:pPr>
        <w:spacing w:after="0" w:line="240" w:lineRule="auto"/>
        <w:ind w:right="92"/>
        <w:rPr>
          <w:rFonts w:cstheme="minorHAnsi"/>
          <w:iCs/>
          <w:sz w:val="24"/>
          <w:szCs w:val="24"/>
        </w:rPr>
      </w:pPr>
    </w:p>
    <w:p w14:paraId="67BED3A2" w14:textId="0BD59C1D" w:rsidR="007D5D71" w:rsidRDefault="00F72849" w:rsidP="00F72849"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</w:r>
      <w:r w:rsidRPr="00F871BA">
        <w:rPr>
          <w:rFonts w:cstheme="minorHAnsi"/>
          <w:iCs/>
          <w:sz w:val="24"/>
          <w:szCs w:val="24"/>
        </w:rPr>
        <w:tab/>
        <w:t xml:space="preserve">                  </w:t>
      </w:r>
      <w:r w:rsidR="00730BAD">
        <w:rPr>
          <w:rFonts w:cstheme="minorHAnsi"/>
          <w:iCs/>
          <w:sz w:val="24"/>
          <w:szCs w:val="24"/>
        </w:rPr>
        <w:t>Ivan Jurešić, univ.spec.oec.</w:t>
      </w:r>
    </w:p>
    <w:sectPr w:rsidR="007D5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C430D" w14:textId="77777777" w:rsidR="005C6C08" w:rsidRDefault="005C6C08">
      <w:pPr>
        <w:spacing w:after="0" w:line="240" w:lineRule="auto"/>
      </w:pPr>
      <w:r>
        <w:separator/>
      </w:r>
    </w:p>
  </w:endnote>
  <w:endnote w:type="continuationSeparator" w:id="0">
    <w:p w14:paraId="165D30A5" w14:textId="77777777" w:rsidR="005C6C08" w:rsidRDefault="005C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4009315"/>
      <w:docPartObj>
        <w:docPartGallery w:val="Page Numbers (Bottom of Page)"/>
        <w:docPartUnique/>
      </w:docPartObj>
    </w:sdtPr>
    <w:sdtContent>
      <w:p w14:paraId="31C80F7D" w14:textId="651A0474" w:rsidR="004316EB" w:rsidRDefault="004316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8E10A4" w14:textId="77777777" w:rsidR="004316EB" w:rsidRDefault="0043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722501"/>
      <w:docPartObj>
        <w:docPartGallery w:val="Page Numbers (Bottom of Page)"/>
        <w:docPartUnique/>
      </w:docPartObj>
    </w:sdtPr>
    <w:sdtContent>
      <w:p w14:paraId="586AFBD3" w14:textId="77777777" w:rsidR="00313166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1B4BB415" w14:textId="77777777" w:rsidR="00313166" w:rsidRDefault="003131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798288"/>
      <w:docPartObj>
        <w:docPartGallery w:val="Page Numbers (Bottom of Page)"/>
        <w:docPartUnique/>
      </w:docPartObj>
    </w:sdtPr>
    <w:sdtContent>
      <w:p w14:paraId="31C9148F" w14:textId="77777777" w:rsidR="00313166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0A2674F0" w14:textId="77777777" w:rsidR="00313166" w:rsidRDefault="0031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4F5F6" w14:textId="77777777" w:rsidR="005C6C08" w:rsidRDefault="005C6C08">
      <w:pPr>
        <w:spacing w:after="0" w:line="240" w:lineRule="auto"/>
      </w:pPr>
      <w:r>
        <w:separator/>
      </w:r>
    </w:p>
  </w:footnote>
  <w:footnote w:type="continuationSeparator" w:id="0">
    <w:p w14:paraId="10333FA8" w14:textId="77777777" w:rsidR="005C6C08" w:rsidRDefault="005C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FC8FA" w14:textId="77777777" w:rsidR="00313166" w:rsidRDefault="00313166">
    <w:pPr>
      <w:pStyle w:val="Header"/>
      <w:jc w:val="right"/>
    </w:pPr>
  </w:p>
  <w:p w14:paraId="01CDE628" w14:textId="77777777" w:rsidR="00313166" w:rsidRPr="006627ED" w:rsidRDefault="00313166" w:rsidP="005859D8">
    <w:pPr>
      <w:tabs>
        <w:tab w:val="left" w:pos="2310"/>
        <w:tab w:val="right" w:pos="9070"/>
      </w:tabs>
      <w:ind w:left="900"/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86393" w14:textId="77777777" w:rsidR="00313166" w:rsidRDefault="00313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A926F" w14:textId="77777777" w:rsidR="00313166" w:rsidRDefault="00313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CAD28F6C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0F604E1"/>
    <w:multiLevelType w:val="hybridMultilevel"/>
    <w:tmpl w:val="4C8E48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B77"/>
    <w:multiLevelType w:val="hybridMultilevel"/>
    <w:tmpl w:val="F7564734"/>
    <w:lvl w:ilvl="0" w:tplc="E2B03F10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ED00574"/>
    <w:multiLevelType w:val="hybridMultilevel"/>
    <w:tmpl w:val="E1784774"/>
    <w:lvl w:ilvl="0" w:tplc="E2B03F1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F3A84"/>
    <w:multiLevelType w:val="multilevel"/>
    <w:tmpl w:val="10CCE6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22E902AB"/>
    <w:multiLevelType w:val="hybridMultilevel"/>
    <w:tmpl w:val="38766E68"/>
    <w:lvl w:ilvl="0" w:tplc="58F408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4A0AD6"/>
    <w:multiLevelType w:val="hybridMultilevel"/>
    <w:tmpl w:val="BA3049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463C37"/>
    <w:multiLevelType w:val="hybridMultilevel"/>
    <w:tmpl w:val="660E8B0C"/>
    <w:lvl w:ilvl="0" w:tplc="C8B20AB6">
      <w:start w:val="1"/>
      <w:numFmt w:val="decimal"/>
      <w:lvlText w:val="%1."/>
      <w:lvlJc w:val="left"/>
      <w:pPr>
        <w:ind w:left="134" w:hanging="262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 w:tplc="3CAE35B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692D7EE">
      <w:numFmt w:val="bullet"/>
      <w:lvlText w:val="•"/>
      <w:lvlJc w:val="left"/>
      <w:pPr>
        <w:ind w:left="1796" w:hanging="360"/>
      </w:pPr>
      <w:rPr>
        <w:rFonts w:hint="default"/>
      </w:rPr>
    </w:lvl>
    <w:lvl w:ilvl="3" w:tplc="73B8CC5A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34227A5E">
      <w:numFmt w:val="bullet"/>
      <w:lvlText w:val="•"/>
      <w:lvlJc w:val="left"/>
      <w:pPr>
        <w:ind w:left="3708" w:hanging="360"/>
      </w:pPr>
      <w:rPr>
        <w:rFonts w:hint="default"/>
      </w:rPr>
    </w:lvl>
    <w:lvl w:ilvl="5" w:tplc="D69E05D6">
      <w:numFmt w:val="bullet"/>
      <w:lvlText w:val="•"/>
      <w:lvlJc w:val="left"/>
      <w:pPr>
        <w:ind w:left="4665" w:hanging="360"/>
      </w:pPr>
      <w:rPr>
        <w:rFonts w:hint="default"/>
      </w:rPr>
    </w:lvl>
    <w:lvl w:ilvl="6" w:tplc="4C9698A4">
      <w:numFmt w:val="bullet"/>
      <w:lvlText w:val="•"/>
      <w:lvlJc w:val="left"/>
      <w:pPr>
        <w:ind w:left="5621" w:hanging="360"/>
      </w:pPr>
      <w:rPr>
        <w:rFonts w:hint="default"/>
      </w:rPr>
    </w:lvl>
    <w:lvl w:ilvl="7" w:tplc="3268140C">
      <w:numFmt w:val="bullet"/>
      <w:lvlText w:val="•"/>
      <w:lvlJc w:val="left"/>
      <w:pPr>
        <w:ind w:left="6577" w:hanging="360"/>
      </w:pPr>
      <w:rPr>
        <w:rFonts w:hint="default"/>
      </w:rPr>
    </w:lvl>
    <w:lvl w:ilvl="8" w:tplc="5BAC3724"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8" w15:restartNumberingAfterBreak="0">
    <w:nsid w:val="4370539E"/>
    <w:multiLevelType w:val="hybridMultilevel"/>
    <w:tmpl w:val="1E3C5E2C"/>
    <w:lvl w:ilvl="0" w:tplc="58F40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D29E6"/>
    <w:multiLevelType w:val="multilevel"/>
    <w:tmpl w:val="470E5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9E293A"/>
    <w:multiLevelType w:val="hybridMultilevel"/>
    <w:tmpl w:val="3EBE6F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97131"/>
    <w:multiLevelType w:val="hybridMultilevel"/>
    <w:tmpl w:val="36F00F8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894" w:hanging="360"/>
      </w:pPr>
    </w:lvl>
    <w:lvl w:ilvl="2" w:tplc="041A001B" w:tentative="1">
      <w:start w:val="1"/>
      <w:numFmt w:val="lowerRoman"/>
      <w:lvlText w:val="%3."/>
      <w:lvlJc w:val="right"/>
      <w:pPr>
        <w:ind w:left="-174" w:hanging="180"/>
      </w:pPr>
    </w:lvl>
    <w:lvl w:ilvl="3" w:tplc="041A000F" w:tentative="1">
      <w:start w:val="1"/>
      <w:numFmt w:val="decimal"/>
      <w:lvlText w:val="%4."/>
      <w:lvlJc w:val="left"/>
      <w:pPr>
        <w:ind w:left="546" w:hanging="360"/>
      </w:pPr>
    </w:lvl>
    <w:lvl w:ilvl="4" w:tplc="041A0019" w:tentative="1">
      <w:start w:val="1"/>
      <w:numFmt w:val="lowerLetter"/>
      <w:lvlText w:val="%5."/>
      <w:lvlJc w:val="left"/>
      <w:pPr>
        <w:ind w:left="1266" w:hanging="360"/>
      </w:pPr>
    </w:lvl>
    <w:lvl w:ilvl="5" w:tplc="041A001B" w:tentative="1">
      <w:start w:val="1"/>
      <w:numFmt w:val="lowerRoman"/>
      <w:lvlText w:val="%6."/>
      <w:lvlJc w:val="right"/>
      <w:pPr>
        <w:ind w:left="1986" w:hanging="180"/>
      </w:pPr>
    </w:lvl>
    <w:lvl w:ilvl="6" w:tplc="041A000F" w:tentative="1">
      <w:start w:val="1"/>
      <w:numFmt w:val="decimal"/>
      <w:lvlText w:val="%7."/>
      <w:lvlJc w:val="left"/>
      <w:pPr>
        <w:ind w:left="2706" w:hanging="360"/>
      </w:pPr>
    </w:lvl>
    <w:lvl w:ilvl="7" w:tplc="041A0019" w:tentative="1">
      <w:start w:val="1"/>
      <w:numFmt w:val="lowerLetter"/>
      <w:lvlText w:val="%8."/>
      <w:lvlJc w:val="left"/>
      <w:pPr>
        <w:ind w:left="3426" w:hanging="360"/>
      </w:pPr>
    </w:lvl>
    <w:lvl w:ilvl="8" w:tplc="041A001B" w:tentative="1">
      <w:start w:val="1"/>
      <w:numFmt w:val="lowerRoman"/>
      <w:lvlText w:val="%9."/>
      <w:lvlJc w:val="right"/>
      <w:pPr>
        <w:ind w:left="4146" w:hanging="180"/>
      </w:pPr>
    </w:lvl>
  </w:abstractNum>
  <w:abstractNum w:abstractNumId="12" w15:restartNumberingAfterBreak="0">
    <w:nsid w:val="5A4F5765"/>
    <w:multiLevelType w:val="hybridMultilevel"/>
    <w:tmpl w:val="0604469A"/>
    <w:lvl w:ilvl="0" w:tplc="58F408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tabs>
          <w:tab w:val="num" w:pos="-1500"/>
        </w:tabs>
        <w:ind w:left="-15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-780"/>
        </w:tabs>
        <w:ind w:left="-7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</w:abstractNum>
  <w:abstractNum w:abstractNumId="13" w15:restartNumberingAfterBreak="0">
    <w:nsid w:val="5B3244DD"/>
    <w:multiLevelType w:val="hybridMultilevel"/>
    <w:tmpl w:val="8B12DD82"/>
    <w:lvl w:ilvl="0" w:tplc="80140CA6">
      <w:start w:val="1"/>
      <w:numFmt w:val="lowerLetter"/>
      <w:lvlText w:val="%1)"/>
      <w:lvlJc w:val="left"/>
      <w:pPr>
        <w:ind w:left="502" w:hanging="360"/>
      </w:pPr>
      <w:rPr>
        <w:rFonts w:asciiTheme="minorHAnsi" w:eastAsia="Times New Roman" w:hAnsiTheme="minorHAnsi" w:cs="Times New Roman"/>
        <w:b w:val="0"/>
        <w:bCs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991916"/>
    <w:multiLevelType w:val="multilevel"/>
    <w:tmpl w:val="1FEAA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6657EE3"/>
    <w:multiLevelType w:val="hybridMultilevel"/>
    <w:tmpl w:val="3EB04692"/>
    <w:lvl w:ilvl="0" w:tplc="58F408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E4174C"/>
    <w:multiLevelType w:val="multilevel"/>
    <w:tmpl w:val="E2A0D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6BBE1C41"/>
    <w:multiLevelType w:val="multilevel"/>
    <w:tmpl w:val="99861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E7D02F6"/>
    <w:multiLevelType w:val="hybridMultilevel"/>
    <w:tmpl w:val="C4D6FE56"/>
    <w:lvl w:ilvl="0" w:tplc="E2B03F1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E018DD"/>
    <w:multiLevelType w:val="hybridMultilevel"/>
    <w:tmpl w:val="BBD2DCB4"/>
    <w:lvl w:ilvl="0" w:tplc="E2B03F1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E85893"/>
    <w:multiLevelType w:val="hybridMultilevel"/>
    <w:tmpl w:val="8C369D10"/>
    <w:lvl w:ilvl="0" w:tplc="DDE07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21C8A"/>
    <w:multiLevelType w:val="multilevel"/>
    <w:tmpl w:val="0DF61D3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FA0B0F"/>
    <w:multiLevelType w:val="hybridMultilevel"/>
    <w:tmpl w:val="11B8386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7577FB"/>
    <w:multiLevelType w:val="hybridMultilevel"/>
    <w:tmpl w:val="E1506676"/>
    <w:lvl w:ilvl="0" w:tplc="E2B03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905A0"/>
    <w:multiLevelType w:val="hybridMultilevel"/>
    <w:tmpl w:val="123868D8"/>
    <w:lvl w:ilvl="0" w:tplc="E45064D8">
      <w:start w:val="20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6348F6"/>
    <w:multiLevelType w:val="hybridMultilevel"/>
    <w:tmpl w:val="E3AE1FFE"/>
    <w:lvl w:ilvl="0" w:tplc="E2B03F1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8E309F"/>
    <w:multiLevelType w:val="hybridMultilevel"/>
    <w:tmpl w:val="0A304CE4"/>
    <w:lvl w:ilvl="0" w:tplc="58F40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62154584">
    <w:abstractNumId w:val="0"/>
  </w:num>
  <w:num w:numId="2" w16cid:durableId="2000649840">
    <w:abstractNumId w:val="6"/>
  </w:num>
  <w:num w:numId="3" w16cid:durableId="466898356">
    <w:abstractNumId w:val="14"/>
  </w:num>
  <w:num w:numId="4" w16cid:durableId="126700842">
    <w:abstractNumId w:val="23"/>
  </w:num>
  <w:num w:numId="5" w16cid:durableId="9970740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6009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0788817">
    <w:abstractNumId w:val="7"/>
  </w:num>
  <w:num w:numId="8" w16cid:durableId="2095319736">
    <w:abstractNumId w:val="17"/>
  </w:num>
  <w:num w:numId="9" w16cid:durableId="1472093009">
    <w:abstractNumId w:val="11"/>
  </w:num>
  <w:num w:numId="10" w16cid:durableId="710888001">
    <w:abstractNumId w:val="20"/>
  </w:num>
  <w:num w:numId="11" w16cid:durableId="2033417820">
    <w:abstractNumId w:val="24"/>
  </w:num>
  <w:num w:numId="12" w16cid:durableId="265311249">
    <w:abstractNumId w:val="13"/>
  </w:num>
  <w:num w:numId="13" w16cid:durableId="1179855570">
    <w:abstractNumId w:val="8"/>
  </w:num>
  <w:num w:numId="14" w16cid:durableId="361830837">
    <w:abstractNumId w:val="12"/>
  </w:num>
  <w:num w:numId="15" w16cid:durableId="17897056">
    <w:abstractNumId w:val="5"/>
  </w:num>
  <w:num w:numId="16" w16cid:durableId="1492716228">
    <w:abstractNumId w:val="26"/>
  </w:num>
  <w:num w:numId="17" w16cid:durableId="1718508474">
    <w:abstractNumId w:val="15"/>
  </w:num>
  <w:num w:numId="18" w16cid:durableId="431435258">
    <w:abstractNumId w:val="1"/>
  </w:num>
  <w:num w:numId="19" w16cid:durableId="1994135667">
    <w:abstractNumId w:val="21"/>
  </w:num>
  <w:num w:numId="20" w16cid:durableId="838887665">
    <w:abstractNumId w:val="9"/>
  </w:num>
  <w:num w:numId="21" w16cid:durableId="1079596620">
    <w:abstractNumId w:val="22"/>
  </w:num>
  <w:num w:numId="22" w16cid:durableId="1137531008">
    <w:abstractNumId w:val="10"/>
  </w:num>
  <w:num w:numId="23" w16cid:durableId="495342714">
    <w:abstractNumId w:val="4"/>
  </w:num>
  <w:num w:numId="24" w16cid:durableId="1106117384">
    <w:abstractNumId w:val="25"/>
  </w:num>
  <w:num w:numId="25" w16cid:durableId="1301308139">
    <w:abstractNumId w:val="2"/>
  </w:num>
  <w:num w:numId="26" w16cid:durableId="2057510298">
    <w:abstractNumId w:val="19"/>
  </w:num>
  <w:num w:numId="27" w16cid:durableId="946350765">
    <w:abstractNumId w:val="18"/>
  </w:num>
  <w:num w:numId="28" w16cid:durableId="1648782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49"/>
    <w:rsid w:val="00073751"/>
    <w:rsid w:val="00083722"/>
    <w:rsid w:val="000B6561"/>
    <w:rsid w:val="000D106E"/>
    <w:rsid w:val="000D1B28"/>
    <w:rsid w:val="00102387"/>
    <w:rsid w:val="00130EA7"/>
    <w:rsid w:val="00155358"/>
    <w:rsid w:val="001614DF"/>
    <w:rsid w:val="0016269C"/>
    <w:rsid w:val="00163AD5"/>
    <w:rsid w:val="001643F2"/>
    <w:rsid w:val="00164D78"/>
    <w:rsid w:val="001729F9"/>
    <w:rsid w:val="001A526C"/>
    <w:rsid w:val="001A55CC"/>
    <w:rsid w:val="001A7B7A"/>
    <w:rsid w:val="001B2D8C"/>
    <w:rsid w:val="001B3E04"/>
    <w:rsid w:val="001B3EC3"/>
    <w:rsid w:val="001B498B"/>
    <w:rsid w:val="001B79E7"/>
    <w:rsid w:val="001C1AB2"/>
    <w:rsid w:val="001C6755"/>
    <w:rsid w:val="001D1A13"/>
    <w:rsid w:val="001E0E65"/>
    <w:rsid w:val="001E470D"/>
    <w:rsid w:val="001F1570"/>
    <w:rsid w:val="00200C47"/>
    <w:rsid w:val="00220E41"/>
    <w:rsid w:val="00221E4C"/>
    <w:rsid w:val="00227501"/>
    <w:rsid w:val="0023671F"/>
    <w:rsid w:val="002438E6"/>
    <w:rsid w:val="002544AE"/>
    <w:rsid w:val="00276334"/>
    <w:rsid w:val="00276C61"/>
    <w:rsid w:val="002865D6"/>
    <w:rsid w:val="002A5E85"/>
    <w:rsid w:val="002B727D"/>
    <w:rsid w:val="002C2EB5"/>
    <w:rsid w:val="002C69AF"/>
    <w:rsid w:val="002D0025"/>
    <w:rsid w:val="002F7F99"/>
    <w:rsid w:val="00302190"/>
    <w:rsid w:val="00313166"/>
    <w:rsid w:val="00325FF6"/>
    <w:rsid w:val="0033420F"/>
    <w:rsid w:val="00341BE8"/>
    <w:rsid w:val="003430D4"/>
    <w:rsid w:val="003537CC"/>
    <w:rsid w:val="00354FA0"/>
    <w:rsid w:val="0036379A"/>
    <w:rsid w:val="00381882"/>
    <w:rsid w:val="003A0F6E"/>
    <w:rsid w:val="003B0EC3"/>
    <w:rsid w:val="003B5C55"/>
    <w:rsid w:val="003D0389"/>
    <w:rsid w:val="003F4615"/>
    <w:rsid w:val="004269EA"/>
    <w:rsid w:val="004316EB"/>
    <w:rsid w:val="00451FD3"/>
    <w:rsid w:val="00466C08"/>
    <w:rsid w:val="004803D8"/>
    <w:rsid w:val="00484112"/>
    <w:rsid w:val="004847B1"/>
    <w:rsid w:val="00492837"/>
    <w:rsid w:val="004A0FA3"/>
    <w:rsid w:val="004A3DE7"/>
    <w:rsid w:val="004F1A6D"/>
    <w:rsid w:val="004F3C21"/>
    <w:rsid w:val="004F4865"/>
    <w:rsid w:val="004F513F"/>
    <w:rsid w:val="004F58CB"/>
    <w:rsid w:val="0051244B"/>
    <w:rsid w:val="00536D0D"/>
    <w:rsid w:val="00557EBD"/>
    <w:rsid w:val="005738A2"/>
    <w:rsid w:val="00582B5F"/>
    <w:rsid w:val="005C2608"/>
    <w:rsid w:val="005C6C08"/>
    <w:rsid w:val="005D6133"/>
    <w:rsid w:val="005E3B95"/>
    <w:rsid w:val="005E434A"/>
    <w:rsid w:val="00606E4A"/>
    <w:rsid w:val="00616B96"/>
    <w:rsid w:val="00641712"/>
    <w:rsid w:val="0064295B"/>
    <w:rsid w:val="00650E4F"/>
    <w:rsid w:val="00660C16"/>
    <w:rsid w:val="00681FAF"/>
    <w:rsid w:val="006977C0"/>
    <w:rsid w:val="006A0310"/>
    <w:rsid w:val="006A12EA"/>
    <w:rsid w:val="006B02EC"/>
    <w:rsid w:val="006C79B4"/>
    <w:rsid w:val="006D4B9A"/>
    <w:rsid w:val="006F7C9A"/>
    <w:rsid w:val="00703A36"/>
    <w:rsid w:val="007158B7"/>
    <w:rsid w:val="00724D4B"/>
    <w:rsid w:val="00730BAD"/>
    <w:rsid w:val="007330DF"/>
    <w:rsid w:val="00737E3B"/>
    <w:rsid w:val="00774A87"/>
    <w:rsid w:val="00791969"/>
    <w:rsid w:val="0079428C"/>
    <w:rsid w:val="007A2882"/>
    <w:rsid w:val="007A6E88"/>
    <w:rsid w:val="007B139D"/>
    <w:rsid w:val="007B5F91"/>
    <w:rsid w:val="007C54D4"/>
    <w:rsid w:val="007D0DDD"/>
    <w:rsid w:val="007D5D71"/>
    <w:rsid w:val="007E1E44"/>
    <w:rsid w:val="007E1FC9"/>
    <w:rsid w:val="007E36FA"/>
    <w:rsid w:val="007E5761"/>
    <w:rsid w:val="007E5A93"/>
    <w:rsid w:val="007E5E05"/>
    <w:rsid w:val="00805263"/>
    <w:rsid w:val="008070AF"/>
    <w:rsid w:val="0084011D"/>
    <w:rsid w:val="008430EB"/>
    <w:rsid w:val="008535AD"/>
    <w:rsid w:val="008548C2"/>
    <w:rsid w:val="008765FE"/>
    <w:rsid w:val="00894512"/>
    <w:rsid w:val="008A46A2"/>
    <w:rsid w:val="008A5105"/>
    <w:rsid w:val="008A5C13"/>
    <w:rsid w:val="008B42D4"/>
    <w:rsid w:val="008B55EC"/>
    <w:rsid w:val="008E354D"/>
    <w:rsid w:val="008F4382"/>
    <w:rsid w:val="008F4F1B"/>
    <w:rsid w:val="00900F8F"/>
    <w:rsid w:val="009064EF"/>
    <w:rsid w:val="009279A4"/>
    <w:rsid w:val="00927C53"/>
    <w:rsid w:val="0094103B"/>
    <w:rsid w:val="00941BC0"/>
    <w:rsid w:val="00941C8B"/>
    <w:rsid w:val="00943BA7"/>
    <w:rsid w:val="00953ECD"/>
    <w:rsid w:val="00962DB1"/>
    <w:rsid w:val="00972760"/>
    <w:rsid w:val="00994700"/>
    <w:rsid w:val="009B6980"/>
    <w:rsid w:val="009C17A2"/>
    <w:rsid w:val="009E236C"/>
    <w:rsid w:val="009E4ABF"/>
    <w:rsid w:val="009F47E0"/>
    <w:rsid w:val="009F6368"/>
    <w:rsid w:val="00A03B85"/>
    <w:rsid w:val="00A26A6F"/>
    <w:rsid w:val="00A35CE5"/>
    <w:rsid w:val="00A5391D"/>
    <w:rsid w:val="00A71739"/>
    <w:rsid w:val="00A94BA1"/>
    <w:rsid w:val="00AA30B3"/>
    <w:rsid w:val="00AA3799"/>
    <w:rsid w:val="00AC378F"/>
    <w:rsid w:val="00AE26E7"/>
    <w:rsid w:val="00AF2E6C"/>
    <w:rsid w:val="00B1079D"/>
    <w:rsid w:val="00B1228A"/>
    <w:rsid w:val="00B551AD"/>
    <w:rsid w:val="00B625D5"/>
    <w:rsid w:val="00B75D83"/>
    <w:rsid w:val="00B80384"/>
    <w:rsid w:val="00BC202E"/>
    <w:rsid w:val="00C007B7"/>
    <w:rsid w:val="00C01D21"/>
    <w:rsid w:val="00C170D8"/>
    <w:rsid w:val="00C32BCF"/>
    <w:rsid w:val="00C542A9"/>
    <w:rsid w:val="00C60E2F"/>
    <w:rsid w:val="00C60FB8"/>
    <w:rsid w:val="00C63EBC"/>
    <w:rsid w:val="00C715E9"/>
    <w:rsid w:val="00C82EE5"/>
    <w:rsid w:val="00C8492A"/>
    <w:rsid w:val="00CB4DD7"/>
    <w:rsid w:val="00CE21BE"/>
    <w:rsid w:val="00CF35C7"/>
    <w:rsid w:val="00CF6B1F"/>
    <w:rsid w:val="00D1231A"/>
    <w:rsid w:val="00D239B6"/>
    <w:rsid w:val="00D24F91"/>
    <w:rsid w:val="00D25F93"/>
    <w:rsid w:val="00D3289C"/>
    <w:rsid w:val="00D401DB"/>
    <w:rsid w:val="00D53F15"/>
    <w:rsid w:val="00D545AA"/>
    <w:rsid w:val="00D61A10"/>
    <w:rsid w:val="00D77536"/>
    <w:rsid w:val="00DA5AE7"/>
    <w:rsid w:val="00DB694C"/>
    <w:rsid w:val="00DF51BB"/>
    <w:rsid w:val="00DF7E63"/>
    <w:rsid w:val="00E17427"/>
    <w:rsid w:val="00E17E0B"/>
    <w:rsid w:val="00E41106"/>
    <w:rsid w:val="00E44C3A"/>
    <w:rsid w:val="00E64328"/>
    <w:rsid w:val="00E77C62"/>
    <w:rsid w:val="00E90C21"/>
    <w:rsid w:val="00E9152F"/>
    <w:rsid w:val="00EA0C15"/>
    <w:rsid w:val="00ED303D"/>
    <w:rsid w:val="00EE4C08"/>
    <w:rsid w:val="00EE7DB2"/>
    <w:rsid w:val="00EE7ED6"/>
    <w:rsid w:val="00F00328"/>
    <w:rsid w:val="00F24A17"/>
    <w:rsid w:val="00F502D6"/>
    <w:rsid w:val="00F50462"/>
    <w:rsid w:val="00F574EA"/>
    <w:rsid w:val="00F62E89"/>
    <w:rsid w:val="00F72849"/>
    <w:rsid w:val="00F82CF4"/>
    <w:rsid w:val="00F871BA"/>
    <w:rsid w:val="00F94A86"/>
    <w:rsid w:val="00F96628"/>
    <w:rsid w:val="00FA1F5E"/>
    <w:rsid w:val="00FA323E"/>
    <w:rsid w:val="00FB699B"/>
    <w:rsid w:val="00F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1B5D4E3D"/>
  <w15:chartTrackingRefBased/>
  <w15:docId w15:val="{8EE587DB-B3C3-443C-B494-B1126E7D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84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849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2849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284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2849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72849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72849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F72849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F72849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F72849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849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849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72849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72849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72849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F72849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F72849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F72849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F72849"/>
    <w:rPr>
      <w:rFonts w:ascii="Cambria" w:eastAsia="Times New Roman" w:hAnsi="Cambria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F728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49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2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84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2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849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72849"/>
    <w:pPr>
      <w:ind w:left="720"/>
      <w:contextualSpacing/>
    </w:pPr>
  </w:style>
  <w:style w:type="paragraph" w:styleId="BlockText">
    <w:name w:val="Block Text"/>
    <w:basedOn w:val="Normal"/>
    <w:uiPriority w:val="99"/>
    <w:rsid w:val="00F72849"/>
    <w:pPr>
      <w:spacing w:after="0" w:line="240" w:lineRule="auto"/>
      <w:ind w:left="175" w:right="269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F72849"/>
    <w:pPr>
      <w:spacing w:after="0" w:line="240" w:lineRule="auto"/>
      <w:ind w:left="900" w:right="-367"/>
      <w:jc w:val="righ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styleId="PageNumber">
    <w:name w:val="page number"/>
    <w:rsid w:val="00F7284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72849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728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rsid w:val="00F728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728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rsid w:val="00F72849"/>
    <w:pPr>
      <w:framePr w:hSpace="180" w:wrap="auto" w:vAnchor="text" w:hAnchor="margin" w:xAlign="center" w:y="108"/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728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F72849"/>
    <w:pPr>
      <w:framePr w:hSpace="180" w:wrap="auto" w:vAnchor="text" w:hAnchor="margin" w:xAlign="center" w:y="108"/>
      <w:spacing w:before="120" w:after="120" w:line="240" w:lineRule="auto"/>
      <w:ind w:left="-57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rsid w:val="00F728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F72849"/>
    <w:pPr>
      <w:spacing w:after="0" w:line="240" w:lineRule="auto"/>
      <w:ind w:left="1260" w:hanging="54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rsid w:val="00F72849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BodyText3">
    <w:name w:val="Body Text 3"/>
    <w:basedOn w:val="Normal"/>
    <w:link w:val="BodyText3Char"/>
    <w:uiPriority w:val="99"/>
    <w:rsid w:val="00F72849"/>
    <w:pPr>
      <w:spacing w:after="0" w:line="240" w:lineRule="auto"/>
      <w:ind w:right="-6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72849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99"/>
    <w:rsid w:val="00F728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8">
    <w:name w:val="xl38"/>
    <w:basedOn w:val="Normal"/>
    <w:uiPriority w:val="99"/>
    <w:rsid w:val="00F728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hr-HR"/>
    </w:rPr>
  </w:style>
  <w:style w:type="character" w:styleId="Hyperlink">
    <w:name w:val="Hyperlink"/>
    <w:uiPriority w:val="99"/>
    <w:rsid w:val="00F72849"/>
    <w:rPr>
      <w:rFonts w:cs="Times New Roman"/>
      <w:color w:val="0000FF"/>
      <w:u w:val="single"/>
    </w:rPr>
  </w:style>
  <w:style w:type="paragraph" w:customStyle="1" w:styleId="BodyText21">
    <w:name w:val="Body Text 21"/>
    <w:basedOn w:val="Normal"/>
    <w:rsid w:val="00F72849"/>
    <w:pPr>
      <w:overflowPunct w:val="0"/>
      <w:autoSpaceDE w:val="0"/>
      <w:autoSpaceDN w:val="0"/>
      <w:adjustRightInd w:val="0"/>
      <w:spacing w:after="0" w:line="240" w:lineRule="auto"/>
      <w:ind w:right="-426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8"/>
      <w:lang w:val="en-GB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849"/>
    <w:pPr>
      <w:numPr>
        <w:ilvl w:val="1"/>
      </w:numPr>
      <w:spacing w:before="240" w:after="240" w:line="240" w:lineRule="auto"/>
      <w:jc w:val="both"/>
    </w:pPr>
    <w:rPr>
      <w:rFonts w:eastAsiaTheme="majorEastAsia" w:cstheme="majorBidi"/>
      <w:b/>
      <w:iCs/>
      <w:spacing w:val="15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F72849"/>
    <w:rPr>
      <w:rFonts w:eastAsiaTheme="majorEastAsia" w:cstheme="majorBidi"/>
      <w:b/>
      <w:iCs/>
      <w:spacing w:val="15"/>
      <w:kern w:val="0"/>
      <w:szCs w:val="24"/>
      <w:lang w:eastAsia="hr-HR"/>
      <w14:ligatures w14:val="none"/>
    </w:rPr>
  </w:style>
  <w:style w:type="paragraph" w:styleId="NoSpacing">
    <w:name w:val="No Spacing"/>
    <w:link w:val="NoSpacingChar"/>
    <w:uiPriority w:val="1"/>
    <w:qFormat/>
    <w:rsid w:val="00F72849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72849"/>
    <w:rPr>
      <w:rFonts w:eastAsiaTheme="minorEastAsia"/>
      <w:kern w:val="0"/>
      <w:lang w:val="en-US"/>
      <w14:ligatures w14:val="none"/>
    </w:rPr>
  </w:style>
  <w:style w:type="numbering" w:customStyle="1" w:styleId="Bezpopisa1">
    <w:name w:val="Bez popisa1"/>
    <w:next w:val="NoList"/>
    <w:uiPriority w:val="99"/>
    <w:semiHidden/>
    <w:unhideWhenUsed/>
    <w:rsid w:val="00F72849"/>
  </w:style>
  <w:style w:type="table" w:customStyle="1" w:styleId="Reetkatablice1">
    <w:name w:val="Rešetka tablice1"/>
    <w:basedOn w:val="TableNormal"/>
    <w:next w:val="TableGrid"/>
    <w:uiPriority w:val="99"/>
    <w:rsid w:val="00F728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491034583220394703msonospacing">
    <w:name w:val="gmail-m_4491034583220394703msonospacing"/>
    <w:basedOn w:val="Normal"/>
    <w:rsid w:val="00F72849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F72849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F728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72849"/>
    <w:rPr>
      <w:color w:val="800080"/>
      <w:u w:val="single"/>
    </w:rPr>
  </w:style>
  <w:style w:type="paragraph" w:customStyle="1" w:styleId="msonormal0">
    <w:name w:val="msonormal"/>
    <w:basedOn w:val="Normal"/>
    <w:rsid w:val="00F7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F7284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font6">
    <w:name w:val="font6"/>
    <w:basedOn w:val="Normal"/>
    <w:rsid w:val="00F7284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4"/>
      <w:szCs w:val="14"/>
      <w:lang w:eastAsia="hr-HR"/>
    </w:rPr>
  </w:style>
  <w:style w:type="paragraph" w:customStyle="1" w:styleId="xl65">
    <w:name w:val="xl65"/>
    <w:basedOn w:val="Normal"/>
    <w:rsid w:val="00F7284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6">
    <w:name w:val="xl66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7">
    <w:name w:val="xl67"/>
    <w:basedOn w:val="Normal"/>
    <w:rsid w:val="00F72849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8">
    <w:name w:val="xl68"/>
    <w:basedOn w:val="Normal"/>
    <w:rsid w:val="00F72849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9">
    <w:name w:val="xl69"/>
    <w:basedOn w:val="Normal"/>
    <w:rsid w:val="00F72849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0">
    <w:name w:val="xl70"/>
    <w:basedOn w:val="Normal"/>
    <w:rsid w:val="00F72849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F72849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2">
    <w:name w:val="xl72"/>
    <w:basedOn w:val="Normal"/>
    <w:rsid w:val="00F728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73">
    <w:name w:val="xl73"/>
    <w:basedOn w:val="Normal"/>
    <w:rsid w:val="00F7284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74">
    <w:name w:val="xl74"/>
    <w:basedOn w:val="Normal"/>
    <w:rsid w:val="00F7284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75">
    <w:name w:val="xl75"/>
    <w:basedOn w:val="Normal"/>
    <w:rsid w:val="00F728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76">
    <w:name w:val="xl76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F728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9">
    <w:name w:val="xl79"/>
    <w:basedOn w:val="Normal"/>
    <w:rsid w:val="00F728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0">
    <w:name w:val="xl80"/>
    <w:basedOn w:val="Normal"/>
    <w:rsid w:val="00F7284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1">
    <w:name w:val="xl81"/>
    <w:basedOn w:val="Normal"/>
    <w:rsid w:val="00F7284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2">
    <w:name w:val="xl82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hr-HR"/>
    </w:rPr>
  </w:style>
  <w:style w:type="paragraph" w:customStyle="1" w:styleId="xl85">
    <w:name w:val="xl85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hr-HR"/>
    </w:rPr>
  </w:style>
  <w:style w:type="paragraph" w:customStyle="1" w:styleId="xl86">
    <w:name w:val="xl86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hd w:val="thinDiagStripe" w:color="C0C0C0" w:fill="auto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87">
    <w:name w:val="xl87"/>
    <w:basedOn w:val="Normal"/>
    <w:rsid w:val="00F72849"/>
    <w:pPr>
      <w:pBdr>
        <w:top w:val="single" w:sz="8" w:space="0" w:color="C0C0C0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F72849"/>
    <w:pPr>
      <w:pBdr>
        <w:top w:val="single" w:sz="8" w:space="0" w:color="auto"/>
        <w:left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89">
    <w:name w:val="xl89"/>
    <w:basedOn w:val="Normal"/>
    <w:rsid w:val="00F72849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F72849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F72849"/>
    <w:pPr>
      <w:pBdr>
        <w:top w:val="single" w:sz="4" w:space="0" w:color="auto"/>
        <w:left w:val="single" w:sz="4" w:space="0" w:color="auto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2">
    <w:name w:val="xl92"/>
    <w:basedOn w:val="Normal"/>
    <w:rsid w:val="00F72849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3">
    <w:name w:val="xl93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4">
    <w:name w:val="xl94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5">
    <w:name w:val="xl95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6">
    <w:name w:val="xl96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7">
    <w:name w:val="xl97"/>
    <w:basedOn w:val="Normal"/>
    <w:rsid w:val="00F72849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8">
    <w:name w:val="xl98"/>
    <w:basedOn w:val="Normal"/>
    <w:rsid w:val="00F72849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9">
    <w:name w:val="xl99"/>
    <w:basedOn w:val="Normal"/>
    <w:rsid w:val="00F72849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F72849"/>
    <w:pPr>
      <w:pBdr>
        <w:top w:val="single" w:sz="4" w:space="0" w:color="000000"/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1">
    <w:name w:val="xl101"/>
    <w:basedOn w:val="Normal"/>
    <w:rsid w:val="00F7284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102">
    <w:name w:val="xl102"/>
    <w:basedOn w:val="Normal"/>
    <w:rsid w:val="00F7284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3">
    <w:name w:val="xl103"/>
    <w:basedOn w:val="Normal"/>
    <w:rsid w:val="00F72849"/>
    <w:pPr>
      <w:pBdr>
        <w:top w:val="single" w:sz="8" w:space="0" w:color="C0C0C0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04">
    <w:name w:val="xl104"/>
    <w:basedOn w:val="Normal"/>
    <w:rsid w:val="00F72849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5">
    <w:name w:val="xl105"/>
    <w:basedOn w:val="Normal"/>
    <w:rsid w:val="00F72849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6">
    <w:name w:val="xl106"/>
    <w:basedOn w:val="Normal"/>
    <w:rsid w:val="00F72849"/>
    <w:pPr>
      <w:pBdr>
        <w:top w:val="single" w:sz="8" w:space="0" w:color="C0C0C0"/>
        <w:left w:val="single" w:sz="4" w:space="0" w:color="auto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7">
    <w:name w:val="xl107"/>
    <w:basedOn w:val="Normal"/>
    <w:rsid w:val="00F72849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8">
    <w:name w:val="xl108"/>
    <w:basedOn w:val="Normal"/>
    <w:rsid w:val="00F7284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9">
    <w:name w:val="xl109"/>
    <w:basedOn w:val="Normal"/>
    <w:rsid w:val="00F7284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0">
    <w:name w:val="xl110"/>
    <w:basedOn w:val="Normal"/>
    <w:rsid w:val="00F72849"/>
    <w:pPr>
      <w:pBdr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1">
    <w:name w:val="xl111"/>
    <w:basedOn w:val="Normal"/>
    <w:rsid w:val="00F72849"/>
    <w:pPr>
      <w:pBdr>
        <w:left w:val="single" w:sz="4" w:space="0" w:color="000000"/>
        <w:bottom w:val="single" w:sz="4" w:space="0" w:color="C0C0C0"/>
        <w:right w:val="single" w:sz="4" w:space="0" w:color="000000"/>
      </w:pBdr>
      <w:shd w:val="pct12" w:color="C0C0C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112">
    <w:name w:val="xl112"/>
    <w:basedOn w:val="Normal"/>
    <w:rsid w:val="00F72849"/>
    <w:pPr>
      <w:pBdr>
        <w:left w:val="single" w:sz="4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3">
    <w:name w:val="xl113"/>
    <w:basedOn w:val="Normal"/>
    <w:rsid w:val="00F72849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C0C0C0" w:fill="auto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4">
    <w:name w:val="xl114"/>
    <w:basedOn w:val="Normal"/>
    <w:rsid w:val="00F72849"/>
    <w:pPr>
      <w:pBdr>
        <w:top w:val="single" w:sz="4" w:space="0" w:color="auto"/>
        <w:bottom w:val="single" w:sz="4" w:space="0" w:color="auto"/>
      </w:pBdr>
      <w:shd w:val="pct25" w:color="C0C0C0" w:fill="auto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15">
    <w:name w:val="xl115"/>
    <w:basedOn w:val="Normal"/>
    <w:rsid w:val="00F72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6">
    <w:name w:val="xl116"/>
    <w:basedOn w:val="Normal"/>
    <w:rsid w:val="00F72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7">
    <w:name w:val="xl117"/>
    <w:basedOn w:val="Normal"/>
    <w:rsid w:val="00F72849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CCCCFF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118">
    <w:name w:val="xl118"/>
    <w:basedOn w:val="Normal"/>
    <w:rsid w:val="00F7284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24"/>
      <w:szCs w:val="24"/>
      <w:lang w:eastAsia="hr-HR"/>
    </w:rPr>
  </w:style>
  <w:style w:type="paragraph" w:customStyle="1" w:styleId="xl119">
    <w:name w:val="xl119"/>
    <w:basedOn w:val="Normal"/>
    <w:rsid w:val="00F728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20">
    <w:name w:val="xl120"/>
    <w:basedOn w:val="Normal"/>
    <w:rsid w:val="00F72849"/>
    <w:pPr>
      <w:pBdr>
        <w:top w:val="single" w:sz="4" w:space="0" w:color="auto"/>
        <w:left w:val="single" w:sz="4" w:space="0" w:color="FFFFFF"/>
        <w:bottom w:val="single" w:sz="8" w:space="0" w:color="C0C0C0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21">
    <w:name w:val="xl121"/>
    <w:basedOn w:val="Normal"/>
    <w:rsid w:val="00F72849"/>
    <w:pPr>
      <w:pBdr>
        <w:top w:val="single" w:sz="8" w:space="0" w:color="C0C0C0"/>
        <w:left w:val="single" w:sz="4" w:space="0" w:color="FFFFFF"/>
        <w:bottom w:val="single" w:sz="8" w:space="0" w:color="C0C0C0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character" w:customStyle="1" w:styleId="T1Char">
    <w:name w:val="T1 Char"/>
    <w:basedOn w:val="DefaultParagraphFont"/>
    <w:link w:val="T1"/>
    <w:uiPriority w:val="99"/>
    <w:locked/>
    <w:rsid w:val="00F72849"/>
    <w:rPr>
      <w:rFonts w:ascii="Arial" w:hAnsi="Arial" w:cs="Arial"/>
      <w:b/>
      <w:bCs/>
      <w:sz w:val="19"/>
      <w:szCs w:val="19"/>
    </w:rPr>
  </w:style>
  <w:style w:type="paragraph" w:customStyle="1" w:styleId="T1">
    <w:name w:val="T1"/>
    <w:basedOn w:val="Heading1"/>
    <w:link w:val="T1Char"/>
    <w:uiPriority w:val="99"/>
    <w:rsid w:val="00F72849"/>
    <w:pPr>
      <w:numPr>
        <w:numId w:val="0"/>
      </w:numPr>
      <w:overflowPunct/>
      <w:autoSpaceDE/>
      <w:autoSpaceDN/>
      <w:adjustRightInd/>
      <w:spacing w:before="0" w:after="301" w:line="301" w:lineRule="atLeast"/>
      <w:textAlignment w:val="auto"/>
      <w:outlineLvl w:val="9"/>
    </w:pPr>
    <w:rPr>
      <w:rFonts w:ascii="Arial" w:eastAsiaTheme="minorHAnsi" w:hAnsi="Arial" w:cs="Arial"/>
      <w:kern w:val="2"/>
      <w:sz w:val="19"/>
      <w:szCs w:val="19"/>
      <w14:ligatures w14:val="standardContextual"/>
    </w:rPr>
  </w:style>
  <w:style w:type="paragraph" w:customStyle="1" w:styleId="Default">
    <w:name w:val="Default"/>
    <w:uiPriority w:val="99"/>
    <w:rsid w:val="00F728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F72849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72849"/>
    <w:pPr>
      <w:tabs>
        <w:tab w:val="left" w:pos="440"/>
        <w:tab w:val="right" w:leader="dot" w:pos="9064"/>
      </w:tabs>
      <w:spacing w:after="100"/>
    </w:pPr>
    <w:rPr>
      <w:rFonts w:ascii="Calibri" w:hAnsi="Calibri"/>
      <w:b/>
      <w:bCs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72849"/>
    <w:pPr>
      <w:tabs>
        <w:tab w:val="right" w:leader="dot" w:pos="9064"/>
      </w:tabs>
      <w:spacing w:after="100"/>
      <w:ind w:left="440"/>
    </w:pPr>
    <w:rPr>
      <w:rFonts w:cstheme="minorHAnsi"/>
      <w:b/>
      <w:bC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72849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90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9.emf"/><Relationship Id="rId39" Type="http://schemas.openxmlformats.org/officeDocument/2006/relationships/image" Target="media/image14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header" Target="header2.xml"/><Relationship Id="rId42" Type="http://schemas.openxmlformats.org/officeDocument/2006/relationships/package" Target="embeddings/Microsoft_Excel_Worksheet11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6.xlsx"/><Relationship Id="rId33" Type="http://schemas.openxmlformats.org/officeDocument/2006/relationships/package" Target="embeddings/Microsoft_Excel_Worksheet9.xlsx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29" Type="http://schemas.openxmlformats.org/officeDocument/2006/relationships/package" Target="embeddings/Microsoft_Excel_Worksheet7.xlsx"/><Relationship Id="rId41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header" Target="header3.xml"/><Relationship Id="rId40" Type="http://schemas.openxmlformats.org/officeDocument/2006/relationships/package" Target="embeddings/Microsoft_Excel_Worksheet10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oleObject" Target="embeddings/Microsoft_Excel_97-2003_Worksheet.xls"/><Relationship Id="rId28" Type="http://schemas.openxmlformats.org/officeDocument/2006/relationships/image" Target="media/image10.emf"/><Relationship Id="rId36" Type="http://schemas.openxmlformats.org/officeDocument/2006/relationships/image" Target="media/image13.jpeg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8.xlsx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7.emf"/><Relationship Id="rId27" Type="http://schemas.openxmlformats.org/officeDocument/2006/relationships/oleObject" Target="embeddings/Microsoft_Excel_97-2003_Worksheet1.xls"/><Relationship Id="rId30" Type="http://schemas.openxmlformats.org/officeDocument/2006/relationships/image" Target="media/image11.emf"/><Relationship Id="rId35" Type="http://schemas.openxmlformats.org/officeDocument/2006/relationships/footer" Target="footer2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C9ED4-08DB-4B75-AE55-DC9AF8A7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24</Pages>
  <Words>5624</Words>
  <Characters>32061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Ponoš</dc:creator>
  <cp:keywords/>
  <dc:description/>
  <cp:lastModifiedBy>Barbara Srdoč</cp:lastModifiedBy>
  <cp:revision>104</cp:revision>
  <cp:lastPrinted>2024-04-25T12:27:00Z</cp:lastPrinted>
  <dcterms:created xsi:type="dcterms:W3CDTF">2024-04-15T10:32:00Z</dcterms:created>
  <dcterms:modified xsi:type="dcterms:W3CDTF">2024-05-24T11:42:00Z</dcterms:modified>
</cp:coreProperties>
</file>